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E050" w14:textId="1A40B4F1" w:rsidR="00791BF5" w:rsidRPr="004C10C3" w:rsidRDefault="009B1339" w:rsidP="004C10C3">
      <w:pPr>
        <w:pStyle w:val="Heading1"/>
      </w:pPr>
      <w:r>
        <w:t>Am I in the Right Concentration?</w:t>
      </w:r>
    </w:p>
    <w:p w14:paraId="6256EA7A" w14:textId="77777777" w:rsidR="00FA4870" w:rsidRDefault="009B1339" w:rsidP="005D1458">
      <w:r>
        <w:t xml:space="preserve">All CAS majors complete the same 9 Core Classes. </w:t>
      </w:r>
      <w:r w:rsidR="004046EB">
        <w:t xml:space="preserve">In addition to the CAS Core Sequence, majors complete </w:t>
      </w:r>
      <w:r w:rsidR="0080488F">
        <w:t xml:space="preserve">8 additional classes focused on building expertise with specific populations, settings, and careers. </w:t>
      </w:r>
    </w:p>
    <w:p w14:paraId="62ECB448" w14:textId="6FC9F90D" w:rsidR="005D1458" w:rsidRDefault="00FA4870" w:rsidP="005D1458">
      <w:r>
        <w:t>The CAS major has 4 possible concentrations.</w:t>
      </w:r>
    </w:p>
    <w:p w14:paraId="5D266A37" w14:textId="406D90C0" w:rsidR="0080488F" w:rsidRPr="00FA4870" w:rsidRDefault="006B20DD" w:rsidP="0080488F">
      <w:pPr>
        <w:pStyle w:val="ListParagraph"/>
        <w:numPr>
          <w:ilvl w:val="0"/>
          <w:numId w:val="2"/>
        </w:numPr>
        <w:rPr>
          <w:color w:val="003399"/>
        </w:rPr>
      </w:pPr>
      <w:r w:rsidRPr="00FA4870">
        <w:rPr>
          <w:color w:val="003399"/>
        </w:rPr>
        <w:t>Early Childhood Education/Development (CHAE)</w:t>
      </w:r>
    </w:p>
    <w:p w14:paraId="1021064E" w14:textId="323C9C9F" w:rsidR="006B20DD" w:rsidRDefault="00276CD5" w:rsidP="006B20DD">
      <w:pPr>
        <w:pStyle w:val="ListParagraph"/>
        <w:numPr>
          <w:ilvl w:val="1"/>
          <w:numId w:val="2"/>
        </w:numPr>
        <w:ind w:left="1080"/>
      </w:pPr>
      <w:r>
        <w:t>CHAE emphasizes the development, education, and socialization of children through age 8.</w:t>
      </w:r>
    </w:p>
    <w:p w14:paraId="481EBED7" w14:textId="2DC578BB" w:rsidR="00804253" w:rsidRDefault="00804253" w:rsidP="006B20DD">
      <w:pPr>
        <w:pStyle w:val="ListParagraph"/>
        <w:numPr>
          <w:ilvl w:val="1"/>
          <w:numId w:val="2"/>
        </w:numPr>
        <w:ind w:left="1080"/>
      </w:pPr>
      <w:r>
        <w:t>Choose CHAE if you want to</w:t>
      </w:r>
    </w:p>
    <w:p w14:paraId="480383AB" w14:textId="57A0E79D" w:rsidR="00804253" w:rsidRDefault="00804253" w:rsidP="00804253">
      <w:pPr>
        <w:pStyle w:val="ListParagraph"/>
        <w:numPr>
          <w:ilvl w:val="2"/>
          <w:numId w:val="2"/>
        </w:numPr>
        <w:ind w:left="1440"/>
      </w:pPr>
      <w:r>
        <w:t xml:space="preserve">Work in a preschool or family childcare setting. </w:t>
      </w:r>
    </w:p>
    <w:p w14:paraId="684582E3" w14:textId="5E0AF952" w:rsidR="00804253" w:rsidRDefault="00804253" w:rsidP="00804253">
      <w:pPr>
        <w:pStyle w:val="ListParagraph"/>
        <w:numPr>
          <w:ilvl w:val="2"/>
          <w:numId w:val="2"/>
        </w:numPr>
        <w:ind w:left="1440"/>
      </w:pPr>
      <w:r>
        <w:t>Ear</w:t>
      </w:r>
      <w:r w:rsidR="00D260E2">
        <w:t>n</w:t>
      </w:r>
      <w:r>
        <w:t xml:space="preserve"> a Preschool-3</w:t>
      </w:r>
      <w:r w:rsidRPr="00804253">
        <w:rPr>
          <w:vertAlign w:val="superscript"/>
        </w:rPr>
        <w:t>rd</w:t>
      </w:r>
      <w:r>
        <w:t xml:space="preserve"> grade </w:t>
      </w:r>
      <w:r w:rsidR="001D301B">
        <w:t>teaching credential</w:t>
      </w:r>
      <w:r>
        <w:t>.</w:t>
      </w:r>
    </w:p>
    <w:p w14:paraId="3FFEC146" w14:textId="660BA8A9" w:rsidR="00804253" w:rsidRDefault="00804253" w:rsidP="00804253">
      <w:pPr>
        <w:pStyle w:val="ListParagraph"/>
        <w:numPr>
          <w:ilvl w:val="2"/>
          <w:numId w:val="2"/>
        </w:numPr>
        <w:ind w:left="1440"/>
      </w:pPr>
      <w:r>
        <w:t>Ear</w:t>
      </w:r>
      <w:r w:rsidR="00D260E2">
        <w:t xml:space="preserve">n an Early Childhood Special Education </w:t>
      </w:r>
      <w:r w:rsidR="001D301B">
        <w:t>teaching credential</w:t>
      </w:r>
      <w:r w:rsidR="00D260E2">
        <w:t xml:space="preserve">. </w:t>
      </w:r>
    </w:p>
    <w:p w14:paraId="7C96E9BF" w14:textId="587BE38A" w:rsidR="00276CD5" w:rsidRPr="00FA4870" w:rsidRDefault="008A252D" w:rsidP="008A252D">
      <w:pPr>
        <w:pStyle w:val="ListParagraph"/>
        <w:numPr>
          <w:ilvl w:val="0"/>
          <w:numId w:val="2"/>
        </w:numPr>
        <w:rPr>
          <w:color w:val="003399"/>
        </w:rPr>
      </w:pPr>
      <w:r w:rsidRPr="00FA4870">
        <w:rPr>
          <w:color w:val="003399"/>
        </w:rPr>
        <w:t>Elementary School Education/Settings (CHAS)</w:t>
      </w:r>
    </w:p>
    <w:p w14:paraId="27EA87CB" w14:textId="77777777" w:rsidR="001D1BEC" w:rsidRDefault="008A252D" w:rsidP="001D1BEC">
      <w:pPr>
        <w:pStyle w:val="ListParagraph"/>
        <w:numPr>
          <w:ilvl w:val="1"/>
          <w:numId w:val="2"/>
        </w:numPr>
        <w:ind w:left="1080"/>
      </w:pPr>
      <w:r>
        <w:t xml:space="preserve">CHAS emphasizes the development, education, and socialization of children in elementary school settings. </w:t>
      </w:r>
    </w:p>
    <w:p w14:paraId="292EB31C" w14:textId="169B9935" w:rsidR="001D1BEC" w:rsidRDefault="001D1BEC" w:rsidP="001D1BEC">
      <w:pPr>
        <w:pStyle w:val="ListParagraph"/>
        <w:numPr>
          <w:ilvl w:val="1"/>
          <w:numId w:val="2"/>
        </w:numPr>
        <w:ind w:left="1080"/>
      </w:pPr>
      <w:r>
        <w:t>Choose CHAS if you want to</w:t>
      </w:r>
    </w:p>
    <w:p w14:paraId="4F8B68CE" w14:textId="68524E7B" w:rsidR="001D1BEC" w:rsidRDefault="001D1BEC" w:rsidP="001D1BEC">
      <w:pPr>
        <w:pStyle w:val="ListParagraph"/>
        <w:numPr>
          <w:ilvl w:val="2"/>
          <w:numId w:val="2"/>
        </w:numPr>
        <w:ind w:left="1440"/>
      </w:pPr>
      <w:r>
        <w:t xml:space="preserve">Earn a Multiple Subject (General Education) elementary </w:t>
      </w:r>
      <w:r w:rsidR="001D301B">
        <w:t>teaching credential</w:t>
      </w:r>
      <w:r>
        <w:t>.</w:t>
      </w:r>
    </w:p>
    <w:p w14:paraId="40FDDD53" w14:textId="1CCB2D73" w:rsidR="008A252D" w:rsidRDefault="00474E4A" w:rsidP="001D1BEC">
      <w:pPr>
        <w:pStyle w:val="ListParagraph"/>
        <w:numPr>
          <w:ilvl w:val="2"/>
          <w:numId w:val="2"/>
        </w:numPr>
        <w:ind w:left="1440"/>
      </w:pPr>
      <w:r>
        <w:t xml:space="preserve">Earn a </w:t>
      </w:r>
      <w:r w:rsidR="001D301B">
        <w:t>Mild/Moderate or Extensive Support Sp</w:t>
      </w:r>
      <w:r w:rsidR="00126E48">
        <w:t xml:space="preserve">ecial </w:t>
      </w:r>
      <w:r w:rsidR="00E216FC">
        <w:t>Education</w:t>
      </w:r>
      <w:r>
        <w:t xml:space="preserve"> </w:t>
      </w:r>
      <w:r w:rsidR="001D301B">
        <w:t>teaching credential</w:t>
      </w:r>
      <w:r w:rsidR="001D1BEC">
        <w:t xml:space="preserve">. </w:t>
      </w:r>
    </w:p>
    <w:p w14:paraId="61C00B8A" w14:textId="53A29614" w:rsidR="008A252D" w:rsidRPr="00FA4870" w:rsidRDefault="008A252D" w:rsidP="008A252D">
      <w:pPr>
        <w:pStyle w:val="ListParagraph"/>
        <w:numPr>
          <w:ilvl w:val="0"/>
          <w:numId w:val="2"/>
        </w:numPr>
        <w:rPr>
          <w:color w:val="003399"/>
        </w:rPr>
      </w:pPr>
      <w:r w:rsidRPr="00FA4870">
        <w:rPr>
          <w:color w:val="003399"/>
        </w:rPr>
        <w:t>Adolescent and Youth Development (CHAY)</w:t>
      </w:r>
    </w:p>
    <w:p w14:paraId="691DA514" w14:textId="54D91156" w:rsidR="008A252D" w:rsidRDefault="008A252D" w:rsidP="008A252D">
      <w:pPr>
        <w:pStyle w:val="ListParagraph"/>
        <w:numPr>
          <w:ilvl w:val="1"/>
          <w:numId w:val="2"/>
        </w:numPr>
        <w:ind w:left="1080"/>
      </w:pPr>
      <w:r>
        <w:t xml:space="preserve">CHAY emphasizes the development, social interaction, and identity of tweens, teens, and young adults. </w:t>
      </w:r>
    </w:p>
    <w:p w14:paraId="78704C38" w14:textId="48A6C47C" w:rsidR="004F612B" w:rsidRDefault="004F612B" w:rsidP="004F612B">
      <w:pPr>
        <w:pStyle w:val="ListParagraph"/>
        <w:numPr>
          <w:ilvl w:val="1"/>
          <w:numId w:val="2"/>
        </w:numPr>
        <w:ind w:left="1080"/>
      </w:pPr>
      <w:r>
        <w:t>Choose CHAY if you want to</w:t>
      </w:r>
    </w:p>
    <w:p w14:paraId="072906B2" w14:textId="1C691F94" w:rsidR="004F612B" w:rsidRDefault="004F612B" w:rsidP="004F612B">
      <w:pPr>
        <w:pStyle w:val="ListParagraph"/>
        <w:numPr>
          <w:ilvl w:val="2"/>
          <w:numId w:val="2"/>
        </w:numPr>
        <w:ind w:left="1440"/>
      </w:pPr>
      <w:r>
        <w:t>Work with teens and young adults.</w:t>
      </w:r>
    </w:p>
    <w:p w14:paraId="32B34C3E" w14:textId="0495FDAB" w:rsidR="004F612B" w:rsidRDefault="004F612B" w:rsidP="004F612B">
      <w:pPr>
        <w:pStyle w:val="ListParagraph"/>
        <w:numPr>
          <w:ilvl w:val="2"/>
          <w:numId w:val="2"/>
        </w:numPr>
        <w:ind w:left="1440"/>
      </w:pPr>
      <w:r>
        <w:t>Pu</w:t>
      </w:r>
      <w:r w:rsidR="004E20CE">
        <w:t>r</w:t>
      </w:r>
      <w:r>
        <w:t xml:space="preserve">sue graduate study of teens and young adults. </w:t>
      </w:r>
    </w:p>
    <w:p w14:paraId="4457D417" w14:textId="13DE590D" w:rsidR="004F612B" w:rsidRDefault="004F612B" w:rsidP="004F612B">
      <w:pPr>
        <w:pStyle w:val="ListParagraph"/>
        <w:numPr>
          <w:ilvl w:val="2"/>
          <w:numId w:val="2"/>
        </w:numPr>
        <w:ind w:left="1440"/>
      </w:pPr>
      <w:r>
        <w:t xml:space="preserve">Earn </w:t>
      </w:r>
      <w:r w:rsidR="00895658">
        <w:t xml:space="preserve">a </w:t>
      </w:r>
      <w:r>
        <w:t xml:space="preserve">Single Subject </w:t>
      </w:r>
      <w:r w:rsidR="001D301B">
        <w:t>teaching credential</w:t>
      </w:r>
      <w:r>
        <w:t xml:space="preserve">. </w:t>
      </w:r>
    </w:p>
    <w:p w14:paraId="5558EEF4" w14:textId="38A9200A" w:rsidR="008A252D" w:rsidRPr="00FA4870" w:rsidRDefault="008A252D" w:rsidP="008A252D">
      <w:pPr>
        <w:pStyle w:val="ListParagraph"/>
        <w:numPr>
          <w:ilvl w:val="0"/>
          <w:numId w:val="2"/>
        </w:numPr>
        <w:rPr>
          <w:color w:val="003399"/>
        </w:rPr>
      </w:pPr>
      <w:r w:rsidRPr="00FA4870">
        <w:rPr>
          <w:color w:val="003399"/>
        </w:rPr>
        <w:t>Family and Community Contexts (CHAF)</w:t>
      </w:r>
    </w:p>
    <w:p w14:paraId="4823BD94" w14:textId="0D83ED07" w:rsidR="008A252D" w:rsidRDefault="008A252D" w:rsidP="008A252D">
      <w:pPr>
        <w:pStyle w:val="ListParagraph"/>
        <w:numPr>
          <w:ilvl w:val="1"/>
          <w:numId w:val="2"/>
        </w:numPr>
        <w:ind w:left="1080"/>
      </w:pPr>
      <w:r>
        <w:t>CHAF emphasizes the bidirectional influence of children and their families, as well as th</w:t>
      </w:r>
      <w:r w:rsidR="00A35882">
        <w:t xml:space="preserve">e effects of demographic context, culture, and intervention in development. </w:t>
      </w:r>
    </w:p>
    <w:p w14:paraId="4C4B7086" w14:textId="613A1D14" w:rsidR="004F612B" w:rsidRDefault="004F612B" w:rsidP="004F612B">
      <w:pPr>
        <w:pStyle w:val="ListParagraph"/>
        <w:numPr>
          <w:ilvl w:val="1"/>
          <w:numId w:val="2"/>
        </w:numPr>
        <w:ind w:left="1080"/>
      </w:pPr>
      <w:r>
        <w:t>Choose CHAF if you want to</w:t>
      </w:r>
    </w:p>
    <w:p w14:paraId="052892C2" w14:textId="6A84A096" w:rsidR="004F612B" w:rsidRDefault="004F612B" w:rsidP="004F612B">
      <w:pPr>
        <w:pStyle w:val="ListParagraph"/>
        <w:numPr>
          <w:ilvl w:val="2"/>
          <w:numId w:val="2"/>
        </w:numPr>
        <w:ind w:left="1440"/>
      </w:pPr>
      <w:r>
        <w:t xml:space="preserve">Work in nonprofit community setting.  </w:t>
      </w:r>
    </w:p>
    <w:p w14:paraId="0092DA4C" w14:textId="19DFD34F" w:rsidR="004F612B" w:rsidRDefault="004F612B" w:rsidP="004F612B">
      <w:pPr>
        <w:pStyle w:val="ListParagraph"/>
        <w:numPr>
          <w:ilvl w:val="2"/>
          <w:numId w:val="2"/>
        </w:numPr>
        <w:ind w:left="1440"/>
      </w:pPr>
      <w:r>
        <w:t>Earn Child Life certification.</w:t>
      </w:r>
    </w:p>
    <w:p w14:paraId="4DF89F7C" w14:textId="77777777" w:rsidR="004E20CE" w:rsidRDefault="004F612B" w:rsidP="004F612B">
      <w:pPr>
        <w:pStyle w:val="ListParagraph"/>
        <w:numPr>
          <w:ilvl w:val="2"/>
          <w:numId w:val="2"/>
        </w:numPr>
        <w:ind w:left="1440"/>
      </w:pPr>
      <w:r>
        <w:t xml:space="preserve">Work in therapeutic intervention with children and families (e.g. Social Work, Counseling, Marriage and Family Therapy). </w:t>
      </w:r>
    </w:p>
    <w:p w14:paraId="15F9B036" w14:textId="3241E398" w:rsidR="00553BF5" w:rsidRDefault="004E20CE" w:rsidP="00FA4870">
      <w:pPr>
        <w:pStyle w:val="ListParagraph"/>
        <w:numPr>
          <w:ilvl w:val="2"/>
          <w:numId w:val="2"/>
        </w:numPr>
        <w:ind w:left="1440"/>
      </w:pPr>
      <w:r>
        <w:t>Pursue graduate study of children and families</w:t>
      </w:r>
      <w:r w:rsidR="004F612B">
        <w:t>.</w:t>
      </w:r>
    </w:p>
    <w:p w14:paraId="33DD7B4D" w14:textId="51DF1173" w:rsidR="00553BF5" w:rsidRDefault="00553BF5" w:rsidP="00553BF5">
      <w:r>
        <w:t xml:space="preserve">If you are planning to earn a teaching credential, </w:t>
      </w:r>
      <w:r w:rsidR="000148D4">
        <w:t xml:space="preserve">it is important to match your concentration to your planned credential. Having the correct credential shows “subject </w:t>
      </w:r>
      <w:r w:rsidR="000148D4">
        <w:lastRenderedPageBreak/>
        <w:t xml:space="preserve">matter competence” and avoids the need for testing before entering the credential program.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2430"/>
        <w:gridCol w:w="1890"/>
        <w:gridCol w:w="2780"/>
      </w:tblGrid>
      <w:tr w:rsidR="004B7504" w:rsidRPr="00B4286A" w14:paraId="536ABACF" w14:textId="77777777" w:rsidTr="001438F2">
        <w:trPr>
          <w:cantSplit/>
          <w:jc w:val="center"/>
        </w:trPr>
        <w:tc>
          <w:tcPr>
            <w:tcW w:w="2240" w:type="dxa"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shd w:val="clear" w:color="auto" w:fill="0024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97375" w14:textId="77777777" w:rsidR="004B7504" w:rsidRPr="00B4286A" w:rsidRDefault="004B7504" w:rsidP="00986B8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4286A">
              <w:rPr>
                <w:b/>
                <w:bCs/>
                <w:color w:val="FFFFFF" w:themeColor="background1"/>
              </w:rPr>
              <w:t>Credential</w:t>
            </w: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0024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F4F41" w14:textId="77777777" w:rsidR="004B7504" w:rsidRPr="00B4286A" w:rsidRDefault="004B7504" w:rsidP="00986B8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4286A">
              <w:rPr>
                <w:b/>
                <w:bCs/>
                <w:color w:val="FFFFFF" w:themeColor="background1"/>
              </w:rPr>
              <w:t>CAS Concentration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0024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06546" w14:textId="77777777" w:rsidR="004B7504" w:rsidRPr="00B4286A" w:rsidRDefault="004B7504" w:rsidP="00986B8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4286A">
              <w:rPr>
                <w:b/>
                <w:bCs/>
                <w:color w:val="FFFFFF" w:themeColor="background1"/>
              </w:rPr>
              <w:t>Typical Service Population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0024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A2784" w14:textId="77777777" w:rsidR="004B7504" w:rsidRPr="00B4286A" w:rsidRDefault="004B7504" w:rsidP="00986B8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4286A">
              <w:rPr>
                <w:b/>
                <w:bCs/>
                <w:color w:val="FFFFFF" w:themeColor="background1"/>
              </w:rPr>
              <w:t>Typical Age Range</w:t>
            </w:r>
          </w:p>
        </w:tc>
      </w:tr>
      <w:tr w:rsidR="004B7504" w:rsidRPr="00B4286A" w14:paraId="30B39885" w14:textId="77777777" w:rsidTr="001438F2">
        <w:trPr>
          <w:cantSplit/>
          <w:jc w:val="center"/>
        </w:trPr>
        <w:tc>
          <w:tcPr>
            <w:tcW w:w="2240" w:type="dxa"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D7875" w14:textId="77777777" w:rsidR="004B7504" w:rsidRPr="00B4286A" w:rsidRDefault="004B7504" w:rsidP="00986B81">
            <w:pPr>
              <w:spacing w:after="0"/>
            </w:pPr>
            <w:r w:rsidRPr="00B4286A">
              <w:t>Multiple Subjects</w:t>
            </w: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2F181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CHAS</w:t>
            </w:r>
          </w:p>
          <w:p w14:paraId="1F07A2E7" w14:textId="1F00BBBD" w:rsidR="004B7504" w:rsidRPr="00B4286A" w:rsidRDefault="004B7504" w:rsidP="00986B81">
            <w:pPr>
              <w:spacing w:after="0"/>
              <w:jc w:val="center"/>
            </w:pPr>
            <w:r w:rsidRPr="00B4286A">
              <w:t>(</w:t>
            </w:r>
            <w:proofErr w:type="gramStart"/>
            <w:r w:rsidRPr="00B4286A">
              <w:t>Elem</w:t>
            </w:r>
            <w:r w:rsidR="001438F2">
              <w:t xml:space="preserve">entary </w:t>
            </w:r>
            <w:r w:rsidRPr="00B4286A">
              <w:t xml:space="preserve"> School</w:t>
            </w:r>
            <w:proofErr w:type="gramEnd"/>
            <w:r w:rsidRPr="00B4286A">
              <w:t>)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144E0" w14:textId="6FE00109" w:rsidR="004B7504" w:rsidRPr="00B4286A" w:rsidRDefault="004B7504" w:rsidP="00986B81">
            <w:pPr>
              <w:spacing w:after="0"/>
              <w:jc w:val="center"/>
            </w:pPr>
            <w:r w:rsidRPr="00B4286A">
              <w:t xml:space="preserve">General </w:t>
            </w:r>
            <w:r w:rsidR="001438F2">
              <w:br/>
            </w:r>
            <w:r w:rsidRPr="00B4286A">
              <w:t xml:space="preserve">Population 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BE764" w14:textId="77777777" w:rsidR="004B7504" w:rsidRDefault="004B7504" w:rsidP="00986B81">
            <w:pPr>
              <w:spacing w:after="0"/>
            </w:pPr>
            <w:r>
              <w:t>Tk – 8</w:t>
            </w:r>
            <w:r w:rsidRPr="0001049B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5DA8D300" w14:textId="77777777" w:rsidR="004B7504" w:rsidRPr="00B4286A" w:rsidRDefault="004B7504" w:rsidP="00986B81">
            <w:pPr>
              <w:spacing w:after="0"/>
            </w:pPr>
            <w:r>
              <w:t>*Tk requires ECE units</w:t>
            </w:r>
          </w:p>
        </w:tc>
      </w:tr>
      <w:tr w:rsidR="004B7504" w:rsidRPr="00B4286A" w14:paraId="7AA5CE53" w14:textId="77777777" w:rsidTr="001438F2">
        <w:trPr>
          <w:cantSplit/>
          <w:jc w:val="center"/>
        </w:trPr>
        <w:tc>
          <w:tcPr>
            <w:tcW w:w="2240" w:type="dxa"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E0E8" w14:textId="77777777" w:rsidR="004B7504" w:rsidRPr="00B4286A" w:rsidRDefault="004B7504" w:rsidP="00986B81">
            <w:pPr>
              <w:spacing w:after="0"/>
            </w:pPr>
            <w:proofErr w:type="spellStart"/>
            <w:r w:rsidRPr="00B4286A">
              <w:t>Prek</w:t>
            </w:r>
            <w:proofErr w:type="spellEnd"/>
            <w:r w:rsidRPr="00B4286A">
              <w:t xml:space="preserve"> – 3</w:t>
            </w:r>
            <w:r w:rsidRPr="00B4286A">
              <w:rPr>
                <w:vertAlign w:val="superscript"/>
              </w:rPr>
              <w:t>rd</w:t>
            </w: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2623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CHAE</w:t>
            </w:r>
          </w:p>
          <w:p w14:paraId="5DBEB7F2" w14:textId="47D78B00" w:rsidR="004B7504" w:rsidRPr="00B4286A" w:rsidRDefault="004B7504" w:rsidP="00986B81">
            <w:pPr>
              <w:spacing w:after="0"/>
              <w:jc w:val="center"/>
            </w:pPr>
            <w:r w:rsidRPr="00B4286A">
              <w:t>(Early Childhood)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B7B2" w14:textId="7F94B844" w:rsidR="004B7504" w:rsidRPr="00B4286A" w:rsidRDefault="004B7504" w:rsidP="00986B81">
            <w:pPr>
              <w:spacing w:after="0"/>
              <w:jc w:val="center"/>
            </w:pPr>
            <w:r w:rsidRPr="00B4286A">
              <w:t xml:space="preserve">General </w:t>
            </w:r>
            <w:r w:rsidR="001438F2">
              <w:br/>
            </w:r>
            <w:r w:rsidRPr="00B4286A">
              <w:t>Population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2060" w14:textId="77777777" w:rsidR="004B7504" w:rsidRPr="00B4286A" w:rsidRDefault="004B7504" w:rsidP="00986B81">
            <w:pPr>
              <w:spacing w:after="0"/>
            </w:pPr>
            <w:r w:rsidRPr="00B4286A">
              <w:t xml:space="preserve">3 </w:t>
            </w:r>
            <w:r>
              <w:t>yrs</w:t>
            </w:r>
            <w:r w:rsidRPr="00B4286A">
              <w:t xml:space="preserve"> old – 3</w:t>
            </w:r>
            <w:r w:rsidRPr="00B4286A">
              <w:rPr>
                <w:vertAlign w:val="superscript"/>
              </w:rPr>
              <w:t>rd</w:t>
            </w:r>
            <w:r w:rsidRPr="00B4286A">
              <w:t xml:space="preserve"> grade</w:t>
            </w:r>
          </w:p>
        </w:tc>
      </w:tr>
      <w:tr w:rsidR="004B7504" w:rsidRPr="00B4286A" w14:paraId="261ED733" w14:textId="77777777" w:rsidTr="001438F2">
        <w:trPr>
          <w:cantSplit/>
          <w:jc w:val="center"/>
        </w:trPr>
        <w:tc>
          <w:tcPr>
            <w:tcW w:w="2240" w:type="dxa"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42FC" w14:textId="77777777" w:rsidR="004B7504" w:rsidRPr="00B4286A" w:rsidRDefault="004B7504" w:rsidP="00986B81">
            <w:pPr>
              <w:spacing w:after="0"/>
            </w:pPr>
            <w:r w:rsidRPr="00B4286A">
              <w:t>Special Education: Mild/Moderate</w:t>
            </w: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88B4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CHAS</w:t>
            </w:r>
          </w:p>
          <w:p w14:paraId="55781BFC" w14:textId="7EB4F383" w:rsidR="004B7504" w:rsidRPr="00B4286A" w:rsidRDefault="004B7504" w:rsidP="00986B81">
            <w:pPr>
              <w:spacing w:after="0"/>
              <w:jc w:val="center"/>
            </w:pPr>
            <w:r w:rsidRPr="00B4286A">
              <w:t>(</w:t>
            </w:r>
            <w:proofErr w:type="gramStart"/>
            <w:r w:rsidR="001438F2" w:rsidRPr="00B4286A">
              <w:t>Elem</w:t>
            </w:r>
            <w:r w:rsidR="001438F2">
              <w:t xml:space="preserve">entary </w:t>
            </w:r>
            <w:r w:rsidR="001438F2" w:rsidRPr="00B4286A">
              <w:t xml:space="preserve"> </w:t>
            </w:r>
            <w:r w:rsidRPr="00B4286A">
              <w:t>School</w:t>
            </w:r>
            <w:proofErr w:type="gramEnd"/>
            <w:r w:rsidRPr="00B4286A">
              <w:t>)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6E08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 xml:space="preserve">Special </w:t>
            </w:r>
            <w:r w:rsidRPr="00B4286A">
              <w:br/>
              <w:t>Education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20CA" w14:textId="77777777" w:rsidR="004B7504" w:rsidRPr="00B4286A" w:rsidRDefault="004B7504" w:rsidP="00986B81">
            <w:pPr>
              <w:spacing w:after="0"/>
            </w:pPr>
            <w:r>
              <w:t>Tk – 12</w:t>
            </w:r>
            <w:r w:rsidRPr="00B80B99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4B7504" w:rsidRPr="00B4286A" w14:paraId="03A55BA2" w14:textId="77777777" w:rsidTr="001438F2">
        <w:trPr>
          <w:cantSplit/>
          <w:jc w:val="center"/>
        </w:trPr>
        <w:tc>
          <w:tcPr>
            <w:tcW w:w="2240" w:type="dxa"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9613" w14:textId="77777777" w:rsidR="004B7504" w:rsidRPr="00B4286A" w:rsidRDefault="004B7504" w:rsidP="00986B81">
            <w:pPr>
              <w:spacing w:after="0"/>
            </w:pPr>
            <w:r w:rsidRPr="00B4286A">
              <w:t>Special Education:</w:t>
            </w:r>
          </w:p>
          <w:p w14:paraId="17B40283" w14:textId="77777777" w:rsidR="004B7504" w:rsidRPr="00B4286A" w:rsidRDefault="004B7504" w:rsidP="00986B81">
            <w:pPr>
              <w:spacing w:after="0"/>
            </w:pPr>
            <w:r w:rsidRPr="00B4286A">
              <w:t>Early Childhood</w:t>
            </w: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2A7D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CHAE</w:t>
            </w:r>
          </w:p>
          <w:p w14:paraId="4657E184" w14:textId="7234D518" w:rsidR="004B7504" w:rsidRPr="00B4286A" w:rsidRDefault="004B7504" w:rsidP="00986B81">
            <w:pPr>
              <w:spacing w:after="0"/>
              <w:jc w:val="center"/>
            </w:pPr>
            <w:r w:rsidRPr="00B4286A">
              <w:t>(Early Childhood)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5235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 xml:space="preserve">Special </w:t>
            </w:r>
            <w:r w:rsidRPr="00B4286A">
              <w:br/>
              <w:t>Education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7925" w14:textId="77777777" w:rsidR="004B7504" w:rsidRPr="00B4286A" w:rsidRDefault="004B7504" w:rsidP="00986B81">
            <w:pPr>
              <w:spacing w:after="0"/>
            </w:pPr>
            <w:r w:rsidRPr="00B4286A">
              <w:t>Infant - Kindergarten</w:t>
            </w:r>
          </w:p>
        </w:tc>
      </w:tr>
      <w:tr w:rsidR="004B7504" w:rsidRPr="00B4286A" w14:paraId="527D2C42" w14:textId="77777777" w:rsidTr="001438F2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0B7F" w14:textId="77777777" w:rsidR="004B7504" w:rsidRPr="00B4286A" w:rsidRDefault="004B7504" w:rsidP="00986B81">
            <w:pPr>
              <w:spacing w:after="0"/>
            </w:pPr>
            <w:r w:rsidRPr="00B4286A">
              <w:t>Special Education: Extensive Supports</w:t>
            </w: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0970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CHAS</w:t>
            </w:r>
          </w:p>
          <w:p w14:paraId="1BA5E2BC" w14:textId="2D996E9A" w:rsidR="004B7504" w:rsidRPr="00B4286A" w:rsidRDefault="004B7504" w:rsidP="00986B81">
            <w:pPr>
              <w:spacing w:after="0"/>
              <w:jc w:val="center"/>
            </w:pPr>
            <w:r w:rsidRPr="00B4286A">
              <w:t>(E</w:t>
            </w:r>
            <w:r w:rsidR="001438F2" w:rsidRPr="00B4286A">
              <w:t xml:space="preserve"> </w:t>
            </w:r>
            <w:proofErr w:type="gramStart"/>
            <w:r w:rsidR="001438F2" w:rsidRPr="00B4286A">
              <w:t>Elem</w:t>
            </w:r>
            <w:r w:rsidR="001438F2">
              <w:t xml:space="preserve">entary </w:t>
            </w:r>
            <w:r w:rsidR="001438F2" w:rsidRPr="00B4286A">
              <w:t xml:space="preserve"> </w:t>
            </w:r>
            <w:proofErr w:type="spellStart"/>
            <w:r w:rsidRPr="00B4286A">
              <w:t>lem</w:t>
            </w:r>
            <w:proofErr w:type="spellEnd"/>
            <w:proofErr w:type="gramEnd"/>
            <w:r w:rsidRPr="00B4286A">
              <w:t xml:space="preserve"> School)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FFFE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 xml:space="preserve">Special </w:t>
            </w:r>
            <w:r w:rsidRPr="00B4286A">
              <w:br/>
              <w:t>Education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87DE" w14:textId="77777777" w:rsidR="004B7504" w:rsidRPr="00B4286A" w:rsidRDefault="004B7504" w:rsidP="00986B81">
            <w:pPr>
              <w:spacing w:after="0"/>
            </w:pPr>
            <w:r w:rsidRPr="00B4286A">
              <w:t>Elementary</w:t>
            </w:r>
          </w:p>
        </w:tc>
      </w:tr>
      <w:tr w:rsidR="004B7504" w:rsidRPr="00B4286A" w14:paraId="5FB26B3E" w14:textId="77777777" w:rsidTr="001438F2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2973B6"/>
              <w:left w:val="single" w:sz="8" w:space="0" w:color="2973B6"/>
              <w:bottom w:val="single" w:sz="8" w:space="0" w:color="2973B6"/>
              <w:right w:val="nil"/>
            </w:tcBorders>
            <w:vAlign w:val="center"/>
            <w:hideMark/>
          </w:tcPr>
          <w:p w14:paraId="2717CD4C" w14:textId="77777777" w:rsidR="004B7504" w:rsidRPr="00B4286A" w:rsidRDefault="004B7504" w:rsidP="00986B81">
            <w:pPr>
              <w:spacing w:after="0"/>
            </w:pPr>
          </w:p>
        </w:tc>
        <w:tc>
          <w:tcPr>
            <w:tcW w:w="243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B6F9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CHAY</w:t>
            </w:r>
          </w:p>
          <w:p w14:paraId="43174A8B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>(</w:t>
            </w:r>
            <w:proofErr w:type="spellStart"/>
            <w:r w:rsidRPr="00B4286A">
              <w:t>Adole</w:t>
            </w:r>
            <w:r>
              <w:t>s</w:t>
            </w:r>
            <w:proofErr w:type="spellEnd"/>
            <w:r w:rsidRPr="00B4286A">
              <w:t>/Youth Dev)</w:t>
            </w:r>
          </w:p>
        </w:tc>
        <w:tc>
          <w:tcPr>
            <w:tcW w:w="1890" w:type="dxa"/>
            <w:tcBorders>
              <w:top w:val="single" w:sz="8" w:space="0" w:color="2973B6"/>
              <w:left w:val="nil"/>
              <w:bottom w:val="single" w:sz="8" w:space="0" w:color="2973B6"/>
              <w:right w:val="nil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9966" w14:textId="77777777" w:rsidR="004B7504" w:rsidRPr="00B4286A" w:rsidRDefault="004B7504" w:rsidP="00986B81">
            <w:pPr>
              <w:spacing w:after="0"/>
              <w:jc w:val="center"/>
            </w:pPr>
            <w:r w:rsidRPr="00B4286A">
              <w:t xml:space="preserve">Special </w:t>
            </w:r>
            <w:r w:rsidRPr="00B4286A">
              <w:br/>
              <w:t>Education</w:t>
            </w:r>
          </w:p>
        </w:tc>
        <w:tc>
          <w:tcPr>
            <w:tcW w:w="2780" w:type="dxa"/>
            <w:tcBorders>
              <w:top w:val="single" w:sz="8" w:space="0" w:color="2973B6"/>
              <w:left w:val="nil"/>
              <w:bottom w:val="single" w:sz="8" w:space="0" w:color="2973B6"/>
              <w:right w:val="single" w:sz="8" w:space="0" w:color="2973B6"/>
            </w:tcBorders>
            <w:shd w:val="clear" w:color="auto" w:fill="E8EB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D545" w14:textId="77777777" w:rsidR="004B7504" w:rsidRPr="00B4286A" w:rsidRDefault="004B7504" w:rsidP="00986B81">
            <w:pPr>
              <w:spacing w:after="0"/>
            </w:pPr>
            <w:r w:rsidRPr="00B4286A">
              <w:t>Adolescents</w:t>
            </w:r>
            <w:r>
              <w:t xml:space="preserve"> – 22 yrs</w:t>
            </w:r>
          </w:p>
        </w:tc>
      </w:tr>
    </w:tbl>
    <w:p w14:paraId="342B3EA6" w14:textId="77777777" w:rsidR="00BF5636" w:rsidRDefault="00BF5636" w:rsidP="00FA4870"/>
    <w:p w14:paraId="4A5595C7" w14:textId="34D395EC" w:rsidR="00DE039B" w:rsidRDefault="00FA4870" w:rsidP="00FA4870">
      <w:r>
        <w:t xml:space="preserve">You should check that your current concentration (selected when you applied to CSUF) matches your goals. </w:t>
      </w:r>
      <w:r w:rsidR="00553BF5">
        <w:t xml:space="preserve">You can plan for a change of major now, but you cannot make that change until after the semester starts. </w:t>
      </w:r>
      <w:r>
        <w:t xml:space="preserve">Contact CAS Advising (email </w:t>
      </w:r>
      <w:hyperlink r:id="rId5" w:history="1">
        <w:r w:rsidRPr="00047C68">
          <w:rPr>
            <w:rStyle w:val="Hyperlink"/>
            <w:color w:val="DE8400"/>
          </w:rPr>
          <w:t>CASAdvising@fullerton.edu</w:t>
        </w:r>
      </w:hyperlink>
      <w:r>
        <w:t xml:space="preserve">) if you need to change your concentration. </w:t>
      </w:r>
      <w:r w:rsidR="00D105A5">
        <w:t xml:space="preserve"> </w:t>
      </w:r>
    </w:p>
    <w:sectPr w:rsidR="00D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B63"/>
    <w:multiLevelType w:val="hybridMultilevel"/>
    <w:tmpl w:val="D3B0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7DC9"/>
    <w:multiLevelType w:val="hybridMultilevel"/>
    <w:tmpl w:val="4F76C800"/>
    <w:lvl w:ilvl="0" w:tplc="B242FE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01819D6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F29000"/>
      </w:rPr>
    </w:lvl>
    <w:lvl w:ilvl="2" w:tplc="D3469C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C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0499"/>
    <w:multiLevelType w:val="hybridMultilevel"/>
    <w:tmpl w:val="D1F2E14A"/>
    <w:lvl w:ilvl="0" w:tplc="B242FE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09778">
    <w:abstractNumId w:val="2"/>
  </w:num>
  <w:num w:numId="2" w16cid:durableId="767968573">
    <w:abstractNumId w:val="1"/>
  </w:num>
  <w:num w:numId="3" w16cid:durableId="180893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C3"/>
    <w:rsid w:val="000148D4"/>
    <w:rsid w:val="00047C68"/>
    <w:rsid w:val="00072FD3"/>
    <w:rsid w:val="00091269"/>
    <w:rsid w:val="00126E48"/>
    <w:rsid w:val="00137587"/>
    <w:rsid w:val="001438F2"/>
    <w:rsid w:val="001B08F5"/>
    <w:rsid w:val="001D1BEC"/>
    <w:rsid w:val="001D301B"/>
    <w:rsid w:val="001F1488"/>
    <w:rsid w:val="00244C7E"/>
    <w:rsid w:val="0024720C"/>
    <w:rsid w:val="00276CD5"/>
    <w:rsid w:val="002C3B1B"/>
    <w:rsid w:val="00311593"/>
    <w:rsid w:val="00316C96"/>
    <w:rsid w:val="00361871"/>
    <w:rsid w:val="003734FD"/>
    <w:rsid w:val="0039741C"/>
    <w:rsid w:val="003C44E2"/>
    <w:rsid w:val="004046EB"/>
    <w:rsid w:val="00446624"/>
    <w:rsid w:val="004610BC"/>
    <w:rsid w:val="00474E4A"/>
    <w:rsid w:val="00493C1D"/>
    <w:rsid w:val="00497D02"/>
    <w:rsid w:val="004A05A5"/>
    <w:rsid w:val="004B7504"/>
    <w:rsid w:val="004C10C3"/>
    <w:rsid w:val="004E20CE"/>
    <w:rsid w:val="004E5383"/>
    <w:rsid w:val="004F612B"/>
    <w:rsid w:val="0050227D"/>
    <w:rsid w:val="00553BF5"/>
    <w:rsid w:val="005D1458"/>
    <w:rsid w:val="006112FD"/>
    <w:rsid w:val="006178AB"/>
    <w:rsid w:val="00695C76"/>
    <w:rsid w:val="006A20D7"/>
    <w:rsid w:val="006B20DD"/>
    <w:rsid w:val="006D765E"/>
    <w:rsid w:val="006F794A"/>
    <w:rsid w:val="00711DEC"/>
    <w:rsid w:val="00712040"/>
    <w:rsid w:val="00770F32"/>
    <w:rsid w:val="00791BF5"/>
    <w:rsid w:val="007A67A9"/>
    <w:rsid w:val="007A6CEB"/>
    <w:rsid w:val="007C5F8E"/>
    <w:rsid w:val="00803194"/>
    <w:rsid w:val="00804253"/>
    <w:rsid w:val="0080488F"/>
    <w:rsid w:val="00811059"/>
    <w:rsid w:val="00895658"/>
    <w:rsid w:val="008A252D"/>
    <w:rsid w:val="009002A2"/>
    <w:rsid w:val="00963ED1"/>
    <w:rsid w:val="00964181"/>
    <w:rsid w:val="0096550B"/>
    <w:rsid w:val="0098083E"/>
    <w:rsid w:val="009A1596"/>
    <w:rsid w:val="009B1339"/>
    <w:rsid w:val="009C4B30"/>
    <w:rsid w:val="00A05F42"/>
    <w:rsid w:val="00A35882"/>
    <w:rsid w:val="00AB2D1A"/>
    <w:rsid w:val="00AD651A"/>
    <w:rsid w:val="00AE4DF1"/>
    <w:rsid w:val="00AF3DF1"/>
    <w:rsid w:val="00B272FB"/>
    <w:rsid w:val="00B40F89"/>
    <w:rsid w:val="00B450F9"/>
    <w:rsid w:val="00B453DC"/>
    <w:rsid w:val="00B61FEA"/>
    <w:rsid w:val="00B72932"/>
    <w:rsid w:val="00BE3A83"/>
    <w:rsid w:val="00BF5636"/>
    <w:rsid w:val="00C1269F"/>
    <w:rsid w:val="00CB577E"/>
    <w:rsid w:val="00CF479C"/>
    <w:rsid w:val="00D00723"/>
    <w:rsid w:val="00D105A5"/>
    <w:rsid w:val="00D260E2"/>
    <w:rsid w:val="00D66D57"/>
    <w:rsid w:val="00D71E02"/>
    <w:rsid w:val="00D7794F"/>
    <w:rsid w:val="00DE039B"/>
    <w:rsid w:val="00DF16A7"/>
    <w:rsid w:val="00E216FC"/>
    <w:rsid w:val="00E67423"/>
    <w:rsid w:val="00E74B86"/>
    <w:rsid w:val="00E850DC"/>
    <w:rsid w:val="00EC1EBC"/>
    <w:rsid w:val="00F07E4C"/>
    <w:rsid w:val="00F17A06"/>
    <w:rsid w:val="00F66AF7"/>
    <w:rsid w:val="00F66EAB"/>
    <w:rsid w:val="00F739C3"/>
    <w:rsid w:val="00FA4870"/>
    <w:rsid w:val="00FA6CD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631B"/>
  <w15:chartTrackingRefBased/>
  <w15:docId w15:val="{5F2F64D2-E4CE-4269-974A-3E947B4C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C3"/>
    <w:pPr>
      <w:spacing w:after="24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0C3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0000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5A5"/>
    <w:pPr>
      <w:keepNext/>
      <w:keepLines/>
      <w:outlineLvl w:val="1"/>
    </w:pPr>
    <w:rPr>
      <w:rFonts w:asciiTheme="majorHAnsi" w:eastAsiaTheme="majorEastAsia" w:hAnsiTheme="majorHAnsi" w:cstheme="majorBidi"/>
      <w:b/>
      <w:color w:val="0000CC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C3"/>
    <w:rPr>
      <w:rFonts w:asciiTheme="majorHAnsi" w:eastAsiaTheme="majorEastAsia" w:hAnsiTheme="majorHAnsi" w:cstheme="majorBidi"/>
      <w:color w:val="0000C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5A5"/>
    <w:rPr>
      <w:rFonts w:asciiTheme="majorHAnsi" w:eastAsiaTheme="majorEastAsia" w:hAnsiTheme="majorHAnsi" w:cstheme="majorBidi"/>
      <w:b/>
      <w:color w:val="0000CC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03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3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78A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Seidman</dc:creator>
  <cp:keywords/>
  <dc:description/>
  <cp:lastModifiedBy>Ingalls, Stephanie</cp:lastModifiedBy>
  <cp:revision>2</cp:revision>
  <dcterms:created xsi:type="dcterms:W3CDTF">2024-10-30T19:27:00Z</dcterms:created>
  <dcterms:modified xsi:type="dcterms:W3CDTF">2024-10-30T19:27:00Z</dcterms:modified>
</cp:coreProperties>
</file>