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9"/>
        <w:ind w:left="120"/>
      </w:pPr>
      <w:r>
        <w:rPr/>
        <w:t>Gabriel</w:t>
      </w:r>
      <w:r>
        <w:rPr>
          <w:spacing w:val="-4"/>
        </w:rPr>
        <w:t> </w:t>
      </w:r>
      <w:r>
        <w:rPr>
          <w:spacing w:val="-2"/>
        </w:rPr>
        <w:t>Brand</w:t>
      </w:r>
    </w:p>
    <w:p>
      <w:pPr>
        <w:pStyle w:val="Title"/>
      </w:pPr>
      <w:r>
        <w:rPr/>
        <w:t>Exploring</w:t>
      </w:r>
      <w:r>
        <w:rPr>
          <w:spacing w:val="-7"/>
        </w:rPr>
        <w:t> </w:t>
      </w:r>
      <w:r>
        <w:rPr/>
        <w:t>Clinical</w:t>
      </w:r>
      <w:r>
        <w:rPr>
          <w:spacing w:val="-4"/>
        </w:rPr>
        <w:t> </w:t>
      </w:r>
      <w:r>
        <w:rPr/>
        <w:t>Experiences</w:t>
      </w:r>
      <w:r>
        <w:rPr>
          <w:spacing w:val="-5"/>
        </w:rPr>
        <w:t> </w:t>
      </w:r>
      <w:r>
        <w:rPr/>
        <w:t>with</w:t>
      </w:r>
      <w:r>
        <w:rPr>
          <w:spacing w:val="-3"/>
        </w:rPr>
        <w:t> </w:t>
      </w:r>
      <w:r>
        <w:rPr/>
        <w:t>Identity</w:t>
      </w:r>
      <w:r>
        <w:rPr>
          <w:spacing w:val="-4"/>
        </w:rPr>
        <w:t> </w:t>
      </w:r>
      <w:r>
        <w:rPr/>
        <w:t>Development</w:t>
      </w:r>
      <w:r>
        <w:rPr>
          <w:spacing w:val="-3"/>
        </w:rPr>
        <w:t> </w:t>
      </w:r>
      <w:r>
        <w:rPr/>
        <w:t>and</w:t>
      </w:r>
      <w:r>
        <w:rPr>
          <w:spacing w:val="-3"/>
        </w:rPr>
        <w:t> </w:t>
      </w:r>
      <w:r>
        <w:rPr/>
        <w:t>Loss</w:t>
      </w:r>
      <w:r>
        <w:rPr>
          <w:spacing w:val="-5"/>
        </w:rPr>
        <w:t> </w:t>
      </w:r>
      <w:r>
        <w:rPr/>
        <w:t>among Retired Professional Athletes</w:t>
      </w:r>
    </w:p>
    <w:p>
      <w:pPr>
        <w:pStyle w:val="BodyText"/>
        <w:ind w:right="130"/>
      </w:pPr>
      <w:r>
        <w:rPr/>
        <w:t>The present study explores clinical experiences with retirement in the elite athlete population. Existing literature regarding the experiences and psychological well-being of elite athletes navigating the retirement process is reviewed. Qualitative data was gathered through semi- structured interviews with four clinicians experienced in working with the athletic population. Four themes emerged from the interviews including involuntary retirement from athletics, clinical considerations, masculine norms, and working with clients transitioning to retirement. The discussion and analysis of the results highlight the implications of forced retirement on athletes, the complexity of athletic identity, the role of masculinity in the sporting culture, and preferred modalities of clinicians in this field of study. All participants emphasized the need to consider</w:t>
      </w:r>
      <w:r>
        <w:rPr>
          <w:spacing w:val="-2"/>
        </w:rPr>
        <w:t> </w:t>
      </w:r>
      <w:r>
        <w:rPr/>
        <w:t>the</w:t>
      </w:r>
      <w:r>
        <w:rPr>
          <w:spacing w:val="-2"/>
        </w:rPr>
        <w:t> </w:t>
      </w:r>
      <w:r>
        <w:rPr/>
        <w:t>culture</w:t>
      </w:r>
      <w:r>
        <w:rPr>
          <w:spacing w:val="-2"/>
        </w:rPr>
        <w:t> </w:t>
      </w:r>
      <w:r>
        <w:rPr/>
        <w:t>of</w:t>
      </w:r>
      <w:r>
        <w:rPr>
          <w:spacing w:val="-2"/>
        </w:rPr>
        <w:t> </w:t>
      </w:r>
      <w:r>
        <w:rPr/>
        <w:t>the</w:t>
      </w:r>
      <w:r>
        <w:rPr>
          <w:spacing w:val="-2"/>
        </w:rPr>
        <w:t> </w:t>
      </w:r>
      <w:r>
        <w:rPr/>
        <w:t>sporting</w:t>
      </w:r>
      <w:r>
        <w:rPr>
          <w:spacing w:val="-1"/>
        </w:rPr>
        <w:t> </w:t>
      </w:r>
      <w:r>
        <w:rPr/>
        <w:t>world</w:t>
      </w:r>
      <w:r>
        <w:rPr>
          <w:spacing w:val="-1"/>
        </w:rPr>
        <w:t> </w:t>
      </w:r>
      <w:r>
        <w:rPr/>
        <w:t>in</w:t>
      </w:r>
      <w:r>
        <w:rPr>
          <w:spacing w:val="-1"/>
        </w:rPr>
        <w:t> </w:t>
      </w:r>
      <w:r>
        <w:rPr/>
        <w:t>building</w:t>
      </w:r>
      <w:r>
        <w:rPr>
          <w:spacing w:val="-1"/>
        </w:rPr>
        <w:t> </w:t>
      </w:r>
      <w:r>
        <w:rPr/>
        <w:t>a</w:t>
      </w:r>
      <w:r>
        <w:rPr>
          <w:spacing w:val="-2"/>
        </w:rPr>
        <w:t> </w:t>
      </w:r>
      <w:r>
        <w:rPr/>
        <w:t>therapeutic</w:t>
      </w:r>
      <w:r>
        <w:rPr>
          <w:spacing w:val="-2"/>
        </w:rPr>
        <w:t> </w:t>
      </w:r>
      <w:r>
        <w:rPr/>
        <w:t>environment</w:t>
      </w:r>
      <w:r>
        <w:rPr>
          <w:spacing w:val="-1"/>
        </w:rPr>
        <w:t> </w:t>
      </w:r>
      <w:r>
        <w:rPr/>
        <w:t>that</w:t>
      </w:r>
      <w:r>
        <w:rPr>
          <w:spacing w:val="-1"/>
        </w:rPr>
        <w:t> </w:t>
      </w:r>
      <w:r>
        <w:rPr/>
        <w:t>is</w:t>
      </w:r>
      <w:r>
        <w:rPr>
          <w:spacing w:val="-1"/>
        </w:rPr>
        <w:t> </w:t>
      </w:r>
      <w:r>
        <w:rPr/>
        <w:t>fitting</w:t>
      </w:r>
      <w:r>
        <w:rPr>
          <w:spacing w:val="-1"/>
        </w:rPr>
        <w:t> </w:t>
      </w:r>
      <w:r>
        <w:rPr/>
        <w:t>for this</w:t>
      </w:r>
      <w:r>
        <w:rPr>
          <w:spacing w:val="-3"/>
        </w:rPr>
        <w:t> </w:t>
      </w:r>
      <w:r>
        <w:rPr/>
        <w:t>unique</w:t>
      </w:r>
      <w:r>
        <w:rPr>
          <w:spacing w:val="-4"/>
        </w:rPr>
        <w:t> </w:t>
      </w:r>
      <w:r>
        <w:rPr/>
        <w:t>population.</w:t>
      </w:r>
      <w:r>
        <w:rPr>
          <w:spacing w:val="-3"/>
        </w:rPr>
        <w:t> </w:t>
      </w:r>
      <w:r>
        <w:rPr/>
        <w:t>The</w:t>
      </w:r>
      <w:r>
        <w:rPr>
          <w:spacing w:val="-4"/>
        </w:rPr>
        <w:t> </w:t>
      </w:r>
      <w:r>
        <w:rPr/>
        <w:t>participants</w:t>
      </w:r>
      <w:r>
        <w:rPr>
          <w:spacing w:val="-3"/>
        </w:rPr>
        <w:t> </w:t>
      </w:r>
      <w:r>
        <w:rPr/>
        <w:t>recognized</w:t>
      </w:r>
      <w:r>
        <w:rPr>
          <w:spacing w:val="-3"/>
        </w:rPr>
        <w:t> </w:t>
      </w:r>
      <w:r>
        <w:rPr/>
        <w:t>cognitive</w:t>
      </w:r>
      <w:r>
        <w:rPr>
          <w:spacing w:val="-4"/>
        </w:rPr>
        <w:t> </w:t>
      </w:r>
      <w:r>
        <w:rPr/>
        <w:t>behavioral</w:t>
      </w:r>
      <w:r>
        <w:rPr>
          <w:spacing w:val="-3"/>
        </w:rPr>
        <w:t> </w:t>
      </w:r>
      <w:r>
        <w:rPr/>
        <w:t>therapy</w:t>
      </w:r>
      <w:r>
        <w:rPr>
          <w:spacing w:val="-3"/>
        </w:rPr>
        <w:t> </w:t>
      </w:r>
      <w:r>
        <w:rPr/>
        <w:t>as</w:t>
      </w:r>
      <w:r>
        <w:rPr>
          <w:spacing w:val="-3"/>
        </w:rPr>
        <w:t> </w:t>
      </w:r>
      <w:r>
        <w:rPr/>
        <w:t>the</w:t>
      </w:r>
      <w:r>
        <w:rPr>
          <w:spacing w:val="-4"/>
        </w:rPr>
        <w:t> </w:t>
      </w:r>
      <w:r>
        <w:rPr/>
        <w:t>preferred modality in working with athletes transitioning to retirement.</w:t>
      </w:r>
    </w:p>
    <w:p>
      <w:pPr>
        <w:pStyle w:val="BodyText"/>
        <w:spacing w:before="275"/>
      </w:pPr>
      <w:r>
        <w:rPr/>
        <w:t>Kaylin</w:t>
      </w:r>
      <w:r>
        <w:rPr>
          <w:spacing w:val="-2"/>
        </w:rPr>
        <w:t> Fitzgerald</w:t>
      </w:r>
    </w:p>
    <w:p>
      <w:pPr>
        <w:pStyle w:val="BodyText"/>
      </w:pPr>
      <w:r>
        <w:rPr/>
        <w:t>Examining</w:t>
      </w:r>
      <w:r>
        <w:rPr>
          <w:spacing w:val="-4"/>
        </w:rPr>
        <w:t> </w:t>
      </w:r>
      <w:r>
        <w:rPr/>
        <w:t>Treatments</w:t>
      </w:r>
      <w:r>
        <w:rPr>
          <w:spacing w:val="-4"/>
        </w:rPr>
        <w:t> </w:t>
      </w:r>
      <w:r>
        <w:rPr/>
        <w:t>of</w:t>
      </w:r>
      <w:r>
        <w:rPr>
          <w:spacing w:val="-3"/>
        </w:rPr>
        <w:t> </w:t>
      </w:r>
      <w:r>
        <w:rPr/>
        <w:t>Social</w:t>
      </w:r>
      <w:r>
        <w:rPr>
          <w:spacing w:val="-4"/>
        </w:rPr>
        <w:t> </w:t>
      </w:r>
      <w:r>
        <w:rPr/>
        <w:t>Anxiety</w:t>
      </w:r>
      <w:r>
        <w:rPr>
          <w:spacing w:val="-4"/>
        </w:rPr>
        <w:t> </w:t>
      </w:r>
      <w:r>
        <w:rPr/>
        <w:t>Disorder</w:t>
      </w:r>
      <w:r>
        <w:rPr>
          <w:spacing w:val="-3"/>
        </w:rPr>
        <w:t> </w:t>
      </w:r>
      <w:r>
        <w:rPr/>
        <w:t>in</w:t>
      </w:r>
      <w:r>
        <w:rPr>
          <w:spacing w:val="-4"/>
        </w:rPr>
        <w:t> </w:t>
      </w:r>
      <w:r>
        <w:rPr/>
        <w:t>Adults</w:t>
      </w:r>
      <w:r>
        <w:rPr>
          <w:spacing w:val="-4"/>
        </w:rPr>
        <w:t> </w:t>
      </w:r>
      <w:r>
        <w:rPr/>
        <w:t>with</w:t>
      </w:r>
      <w:r>
        <w:rPr>
          <w:spacing w:val="-4"/>
        </w:rPr>
        <w:t> </w:t>
      </w:r>
      <w:r>
        <w:rPr/>
        <w:t>Histories</w:t>
      </w:r>
      <w:r>
        <w:rPr>
          <w:spacing w:val="-6"/>
        </w:rPr>
        <w:t> </w:t>
      </w:r>
      <w:r>
        <w:rPr/>
        <w:t>of</w:t>
      </w:r>
      <w:r>
        <w:rPr>
          <w:spacing w:val="-5"/>
        </w:rPr>
        <w:t> </w:t>
      </w:r>
      <w:r>
        <w:rPr/>
        <w:t>Childhood </w:t>
      </w:r>
      <w:r>
        <w:rPr>
          <w:spacing w:val="-2"/>
        </w:rPr>
        <w:t>Maltreatment</w:t>
      </w:r>
    </w:p>
    <w:p>
      <w:pPr>
        <w:pStyle w:val="BodyText"/>
        <w:ind w:right="110"/>
      </w:pPr>
      <w:r>
        <w:rPr/>
        <w:t>The present study examines the presentation of symptoms, developmental risk factors, and treatment</w:t>
      </w:r>
      <w:r>
        <w:rPr>
          <w:spacing w:val="-3"/>
        </w:rPr>
        <w:t> </w:t>
      </w:r>
      <w:r>
        <w:rPr/>
        <w:t>approaches</w:t>
      </w:r>
      <w:r>
        <w:rPr>
          <w:spacing w:val="-1"/>
        </w:rPr>
        <w:t> </w:t>
      </w:r>
      <w:r>
        <w:rPr/>
        <w:t>related</w:t>
      </w:r>
      <w:r>
        <w:rPr>
          <w:spacing w:val="-3"/>
        </w:rPr>
        <w:t> </w:t>
      </w:r>
      <w:r>
        <w:rPr/>
        <w:t>to</w:t>
      </w:r>
      <w:r>
        <w:rPr>
          <w:spacing w:val="-3"/>
        </w:rPr>
        <w:t> </w:t>
      </w:r>
      <w:r>
        <w:rPr/>
        <w:t>social</w:t>
      </w:r>
      <w:r>
        <w:rPr>
          <w:spacing w:val="-3"/>
        </w:rPr>
        <w:t> </w:t>
      </w:r>
      <w:r>
        <w:rPr/>
        <w:t>anxiety</w:t>
      </w:r>
      <w:r>
        <w:rPr>
          <w:spacing w:val="-3"/>
        </w:rPr>
        <w:t> </w:t>
      </w:r>
      <w:r>
        <w:rPr/>
        <w:t>disorder</w:t>
      </w:r>
      <w:r>
        <w:rPr>
          <w:spacing w:val="-4"/>
        </w:rPr>
        <w:t> </w:t>
      </w:r>
      <w:r>
        <w:rPr/>
        <w:t>in</w:t>
      </w:r>
      <w:r>
        <w:rPr>
          <w:spacing w:val="-3"/>
        </w:rPr>
        <w:t> </w:t>
      </w:r>
      <w:r>
        <w:rPr/>
        <w:t>adults</w:t>
      </w:r>
      <w:r>
        <w:rPr>
          <w:spacing w:val="-3"/>
        </w:rPr>
        <w:t> </w:t>
      </w:r>
      <w:r>
        <w:rPr/>
        <w:t>with</w:t>
      </w:r>
      <w:r>
        <w:rPr>
          <w:spacing w:val="-3"/>
        </w:rPr>
        <w:t> </w:t>
      </w:r>
      <w:r>
        <w:rPr/>
        <w:t>histories</w:t>
      </w:r>
      <w:r>
        <w:rPr>
          <w:spacing w:val="-3"/>
        </w:rPr>
        <w:t> </w:t>
      </w:r>
      <w:r>
        <w:rPr/>
        <w:t>of</w:t>
      </w:r>
      <w:r>
        <w:rPr>
          <w:spacing w:val="-4"/>
        </w:rPr>
        <w:t> </w:t>
      </w:r>
      <w:r>
        <w:rPr/>
        <w:t>complex</w:t>
      </w:r>
      <w:r>
        <w:rPr>
          <w:spacing w:val="-3"/>
        </w:rPr>
        <w:t> </w:t>
      </w:r>
      <w:r>
        <w:rPr/>
        <w:t>trauma or childhood maltreatment. A review of the current research literature is included in addition to qualitative data involving four mental health professionals who were interviewed about their clinical experiences with this population. Eight major themes were identified from the</w:t>
      </w:r>
      <w:r>
        <w:rPr>
          <w:spacing w:val="40"/>
        </w:rPr>
        <w:t> </w:t>
      </w:r>
      <w:r>
        <w:rPr/>
        <w:t>interviews: functional impairments, family histories, the therapeutic relationship, cultural identities, psychopharmacology, cognitive behavioral therapy, mindfulness, and motivation.</w:t>
      </w:r>
    </w:p>
    <w:p>
      <w:pPr>
        <w:pStyle w:val="BodyText"/>
      </w:pPr>
      <w:r>
        <w:rPr/>
        <w:t>Results suggest that this</w:t>
      </w:r>
      <w:r>
        <w:rPr>
          <w:spacing w:val="-2"/>
        </w:rPr>
        <w:t> </w:t>
      </w:r>
      <w:r>
        <w:rPr/>
        <w:t>population suffers with cognitive, emotional, behavioral, and relational impairments, and that the development of this diagnosis may relate to insecure attachment relationships with early caregivers. Additionally, experiences of cultural mistreatment may also contribute</w:t>
      </w:r>
      <w:r>
        <w:rPr>
          <w:spacing w:val="-4"/>
        </w:rPr>
        <w:t> </w:t>
      </w:r>
      <w:r>
        <w:rPr/>
        <w:t>to</w:t>
      </w:r>
      <w:r>
        <w:rPr>
          <w:spacing w:val="-3"/>
        </w:rPr>
        <w:t> </w:t>
      </w:r>
      <w:r>
        <w:rPr/>
        <w:t>the</w:t>
      </w:r>
      <w:r>
        <w:rPr>
          <w:spacing w:val="-4"/>
        </w:rPr>
        <w:t> </w:t>
      </w:r>
      <w:r>
        <w:rPr/>
        <w:t>progression</w:t>
      </w:r>
      <w:r>
        <w:rPr>
          <w:spacing w:val="-3"/>
        </w:rPr>
        <w:t> </w:t>
      </w:r>
      <w:r>
        <w:rPr/>
        <w:t>of</w:t>
      </w:r>
      <w:r>
        <w:rPr>
          <w:spacing w:val="-4"/>
        </w:rPr>
        <w:t> </w:t>
      </w:r>
      <w:r>
        <w:rPr/>
        <w:t>this</w:t>
      </w:r>
      <w:r>
        <w:rPr>
          <w:spacing w:val="-3"/>
        </w:rPr>
        <w:t> </w:t>
      </w:r>
      <w:r>
        <w:rPr/>
        <w:t>disorder.</w:t>
      </w:r>
      <w:r>
        <w:rPr>
          <w:spacing w:val="-3"/>
        </w:rPr>
        <w:t> </w:t>
      </w:r>
      <w:r>
        <w:rPr/>
        <w:t>This</w:t>
      </w:r>
      <w:r>
        <w:rPr>
          <w:spacing w:val="-3"/>
        </w:rPr>
        <w:t> </w:t>
      </w:r>
      <w:r>
        <w:rPr/>
        <w:t>population</w:t>
      </w:r>
      <w:r>
        <w:rPr>
          <w:spacing w:val="-3"/>
        </w:rPr>
        <w:t> </w:t>
      </w:r>
      <w:r>
        <w:rPr/>
        <w:t>appears</w:t>
      </w:r>
      <w:r>
        <w:rPr>
          <w:spacing w:val="-3"/>
        </w:rPr>
        <w:t> </w:t>
      </w:r>
      <w:r>
        <w:rPr/>
        <w:t>to</w:t>
      </w:r>
      <w:r>
        <w:rPr>
          <w:spacing w:val="-3"/>
        </w:rPr>
        <w:t> </w:t>
      </w:r>
      <w:r>
        <w:rPr/>
        <w:t>benefit</w:t>
      </w:r>
      <w:r>
        <w:rPr>
          <w:spacing w:val="-3"/>
        </w:rPr>
        <w:t> </w:t>
      </w:r>
      <w:r>
        <w:rPr/>
        <w:t>from</w:t>
      </w:r>
      <w:r>
        <w:rPr>
          <w:spacing w:val="-3"/>
        </w:rPr>
        <w:t> </w:t>
      </w:r>
      <w:r>
        <w:rPr/>
        <w:t>treatments including pharmacotherapy, cognitive behavioral interventions, mindfulness, and a positive therapeutic alliance. Clinical considerations, limitations, and areas for future research are also included in this study.</w:t>
      </w:r>
    </w:p>
    <w:p>
      <w:pPr>
        <w:pStyle w:val="BodyText"/>
        <w:ind w:left="0"/>
      </w:pPr>
    </w:p>
    <w:p>
      <w:pPr>
        <w:pStyle w:val="BodyText"/>
        <w:ind w:left="0"/>
      </w:pPr>
    </w:p>
    <w:p>
      <w:pPr>
        <w:spacing w:before="1"/>
        <w:ind w:left="119" w:right="0" w:firstLine="0"/>
        <w:jc w:val="left"/>
        <w:rPr>
          <w:b/>
          <w:sz w:val="24"/>
        </w:rPr>
      </w:pPr>
      <w:r>
        <w:rPr>
          <w:b/>
          <w:sz w:val="24"/>
        </w:rPr>
        <w:t>Juana</w:t>
      </w:r>
      <w:r>
        <w:rPr>
          <w:b/>
          <w:spacing w:val="-3"/>
          <w:sz w:val="24"/>
        </w:rPr>
        <w:t> </w:t>
      </w:r>
      <w:r>
        <w:rPr>
          <w:b/>
          <w:sz w:val="24"/>
        </w:rPr>
        <w:t>Esmeralda</w:t>
      </w:r>
      <w:r>
        <w:rPr>
          <w:b/>
          <w:spacing w:val="-3"/>
          <w:sz w:val="24"/>
        </w:rPr>
        <w:t> </w:t>
      </w:r>
      <w:r>
        <w:rPr>
          <w:b/>
          <w:spacing w:val="-2"/>
          <w:sz w:val="24"/>
        </w:rPr>
        <w:t>Hernandez</w:t>
      </w:r>
    </w:p>
    <w:p>
      <w:pPr>
        <w:spacing w:before="0"/>
        <w:ind w:left="120" w:right="0" w:firstLine="0"/>
        <w:jc w:val="left"/>
        <w:rPr>
          <w:i/>
          <w:sz w:val="24"/>
        </w:rPr>
      </w:pPr>
      <w:r>
        <w:rPr>
          <w:i/>
          <w:sz w:val="24"/>
        </w:rPr>
        <w:t>Exploring</w:t>
      </w:r>
      <w:r>
        <w:rPr>
          <w:i/>
          <w:spacing w:val="-2"/>
          <w:sz w:val="24"/>
        </w:rPr>
        <w:t> </w:t>
      </w:r>
      <w:r>
        <w:rPr>
          <w:i/>
          <w:sz w:val="24"/>
        </w:rPr>
        <w:t>Burnout</w:t>
      </w:r>
      <w:r>
        <w:rPr>
          <w:i/>
          <w:spacing w:val="-1"/>
          <w:sz w:val="24"/>
        </w:rPr>
        <w:t> </w:t>
      </w:r>
      <w:r>
        <w:rPr>
          <w:i/>
          <w:sz w:val="24"/>
        </w:rPr>
        <w:t>and</w:t>
      </w:r>
      <w:r>
        <w:rPr>
          <w:i/>
          <w:spacing w:val="-1"/>
          <w:sz w:val="24"/>
        </w:rPr>
        <w:t> </w:t>
      </w:r>
      <w:r>
        <w:rPr>
          <w:i/>
          <w:sz w:val="24"/>
        </w:rPr>
        <w:t>Resilience</w:t>
      </w:r>
      <w:r>
        <w:rPr>
          <w:i/>
          <w:spacing w:val="-3"/>
          <w:sz w:val="24"/>
        </w:rPr>
        <w:t> </w:t>
      </w:r>
      <w:r>
        <w:rPr>
          <w:i/>
          <w:sz w:val="24"/>
        </w:rPr>
        <w:t>with</w:t>
      </w:r>
      <w:r>
        <w:rPr>
          <w:i/>
          <w:spacing w:val="-1"/>
          <w:sz w:val="24"/>
        </w:rPr>
        <w:t> </w:t>
      </w:r>
      <w:r>
        <w:rPr>
          <w:i/>
          <w:sz w:val="24"/>
        </w:rPr>
        <w:t>Therapists</w:t>
      </w:r>
      <w:r>
        <w:rPr>
          <w:i/>
          <w:spacing w:val="-4"/>
          <w:sz w:val="24"/>
        </w:rPr>
        <w:t> </w:t>
      </w:r>
      <w:r>
        <w:rPr>
          <w:i/>
          <w:sz w:val="24"/>
        </w:rPr>
        <w:t>Working</w:t>
      </w:r>
      <w:r>
        <w:rPr>
          <w:i/>
          <w:spacing w:val="-1"/>
          <w:sz w:val="24"/>
        </w:rPr>
        <w:t> </w:t>
      </w:r>
      <w:r>
        <w:rPr>
          <w:i/>
          <w:sz w:val="24"/>
        </w:rPr>
        <w:t>with</w:t>
      </w:r>
      <w:r>
        <w:rPr>
          <w:i/>
          <w:spacing w:val="-2"/>
          <w:sz w:val="24"/>
        </w:rPr>
        <w:t> </w:t>
      </w:r>
      <w:r>
        <w:rPr>
          <w:i/>
          <w:sz w:val="24"/>
        </w:rPr>
        <w:t>Severe</w:t>
      </w:r>
      <w:r>
        <w:rPr>
          <w:i/>
          <w:spacing w:val="-2"/>
          <w:sz w:val="24"/>
        </w:rPr>
        <w:t> </w:t>
      </w:r>
      <w:r>
        <w:rPr>
          <w:i/>
          <w:sz w:val="24"/>
        </w:rPr>
        <w:t>Mentally</w:t>
      </w:r>
      <w:r>
        <w:rPr>
          <w:i/>
          <w:spacing w:val="-2"/>
          <w:sz w:val="24"/>
        </w:rPr>
        <w:t> </w:t>
      </w:r>
      <w:r>
        <w:rPr>
          <w:i/>
          <w:sz w:val="24"/>
        </w:rPr>
        <w:t>Ill</w:t>
      </w:r>
      <w:r>
        <w:rPr>
          <w:i/>
          <w:spacing w:val="-1"/>
          <w:sz w:val="24"/>
        </w:rPr>
        <w:t> </w:t>
      </w:r>
      <w:r>
        <w:rPr>
          <w:i/>
          <w:spacing w:val="-2"/>
          <w:sz w:val="24"/>
        </w:rPr>
        <w:t>Clients</w:t>
      </w:r>
    </w:p>
    <w:p>
      <w:pPr>
        <w:pStyle w:val="BodyText"/>
        <w:ind w:left="120" w:right="119"/>
      </w:pPr>
      <w:r>
        <w:rPr/>
        <w:t>The</w:t>
      </w:r>
      <w:r>
        <w:rPr>
          <w:spacing w:val="-4"/>
        </w:rPr>
        <w:t> </w:t>
      </w:r>
      <w:r>
        <w:rPr/>
        <w:t>present</w:t>
      </w:r>
      <w:r>
        <w:rPr>
          <w:spacing w:val="-3"/>
        </w:rPr>
        <w:t> </w:t>
      </w:r>
      <w:r>
        <w:rPr/>
        <w:t>study</w:t>
      </w:r>
      <w:r>
        <w:rPr>
          <w:spacing w:val="-3"/>
        </w:rPr>
        <w:t> </w:t>
      </w:r>
      <w:r>
        <w:rPr/>
        <w:t>explored</w:t>
      </w:r>
      <w:r>
        <w:rPr>
          <w:spacing w:val="-3"/>
        </w:rPr>
        <w:t> </w:t>
      </w:r>
      <w:r>
        <w:rPr/>
        <w:t>burnout</w:t>
      </w:r>
      <w:r>
        <w:rPr>
          <w:spacing w:val="-3"/>
        </w:rPr>
        <w:t> </w:t>
      </w:r>
      <w:r>
        <w:rPr/>
        <w:t>and</w:t>
      </w:r>
      <w:r>
        <w:rPr>
          <w:spacing w:val="-3"/>
        </w:rPr>
        <w:t> </w:t>
      </w:r>
      <w:r>
        <w:rPr/>
        <w:t>resilience</w:t>
      </w:r>
      <w:r>
        <w:rPr>
          <w:spacing w:val="-2"/>
        </w:rPr>
        <w:t> </w:t>
      </w:r>
      <w:r>
        <w:rPr/>
        <w:t>among</w:t>
      </w:r>
      <w:r>
        <w:rPr>
          <w:spacing w:val="-3"/>
        </w:rPr>
        <w:t> </w:t>
      </w:r>
      <w:r>
        <w:rPr/>
        <w:t>marriage</w:t>
      </w:r>
      <w:r>
        <w:rPr>
          <w:spacing w:val="-4"/>
        </w:rPr>
        <w:t> </w:t>
      </w:r>
      <w:r>
        <w:rPr/>
        <w:t>and</w:t>
      </w:r>
      <w:r>
        <w:rPr>
          <w:spacing w:val="-3"/>
        </w:rPr>
        <w:t> </w:t>
      </w:r>
      <w:r>
        <w:rPr/>
        <w:t>family</w:t>
      </w:r>
      <w:r>
        <w:rPr>
          <w:spacing w:val="-3"/>
        </w:rPr>
        <w:t> </w:t>
      </w:r>
      <w:r>
        <w:rPr/>
        <w:t>therapists</w:t>
      </w:r>
      <w:r>
        <w:rPr>
          <w:spacing w:val="-3"/>
        </w:rPr>
        <w:t> </w:t>
      </w:r>
      <w:r>
        <w:rPr/>
        <w:t>working with the severely mentally ill population. Three licensed marriage and family therapists who</w:t>
      </w:r>
      <w:r>
        <w:rPr>
          <w:spacing w:val="40"/>
        </w:rPr>
        <w:t> </w:t>
      </w:r>
      <w:r>
        <w:rPr/>
        <w:t>have remained in the field for over seven years were interviewed about their experiences and challenges working with severely mentally ill clients in an agency setting. Five major themes emerged from the interviews: features unique to the severely mentally ill population,</w:t>
      </w:r>
      <w:r>
        <w:rPr>
          <w:spacing w:val="40"/>
        </w:rPr>
        <w:t> </w:t>
      </w:r>
      <w:r>
        <w:rPr/>
        <w:t>contributing factors to burnout, consequences of burnout on service delivery and engagement with others, role</w:t>
      </w:r>
      <w:r>
        <w:rPr>
          <w:spacing w:val="-1"/>
        </w:rPr>
        <w:t> </w:t>
      </w:r>
      <w:r>
        <w:rPr/>
        <w:t>of</w:t>
      </w:r>
      <w:r>
        <w:rPr>
          <w:spacing w:val="-1"/>
        </w:rPr>
        <w:t> </w:t>
      </w:r>
      <w:r>
        <w:rPr/>
        <w:t>resilience</w:t>
      </w:r>
      <w:r>
        <w:rPr>
          <w:spacing w:val="-1"/>
        </w:rPr>
        <w:t> </w:t>
      </w:r>
      <w:r>
        <w:rPr/>
        <w:t>to counteract burnout, and factors that foster resilience. Aside from the challenging nature of working with the severely mentally ill, the following were reported as contributing factors to burnout: denial, having to balance several demands, lack of energy to</w:t>
      </w:r>
    </w:p>
    <w:p>
      <w:pPr>
        <w:spacing w:after="0"/>
        <w:sectPr>
          <w:type w:val="continuous"/>
          <w:pgSz w:w="12240" w:h="15840"/>
          <w:pgMar w:top="1360" w:bottom="280" w:left="1320" w:right="1340"/>
        </w:sectPr>
      </w:pPr>
    </w:p>
    <w:p>
      <w:pPr>
        <w:pStyle w:val="BodyText"/>
        <w:spacing w:before="79"/>
        <w:ind w:left="120"/>
      </w:pPr>
      <w:r>
        <w:rPr/>
        <w:t>want</w:t>
      </w:r>
      <w:r>
        <w:rPr>
          <w:spacing w:val="-1"/>
        </w:rPr>
        <w:t> </w:t>
      </w:r>
      <w:r>
        <w:rPr/>
        <w:t>to</w:t>
      </w:r>
      <w:r>
        <w:rPr>
          <w:spacing w:val="-1"/>
        </w:rPr>
        <w:t> </w:t>
      </w:r>
      <w:r>
        <w:rPr/>
        <w:t>engage</w:t>
      </w:r>
      <w:r>
        <w:rPr>
          <w:spacing w:val="-2"/>
        </w:rPr>
        <w:t> </w:t>
      </w:r>
      <w:r>
        <w:rPr/>
        <w:t>in</w:t>
      </w:r>
      <w:r>
        <w:rPr>
          <w:spacing w:val="-1"/>
        </w:rPr>
        <w:t> </w:t>
      </w:r>
      <w:r>
        <w:rPr/>
        <w:t>self-care,</w:t>
      </w:r>
      <w:r>
        <w:rPr>
          <w:spacing w:val="-1"/>
        </w:rPr>
        <w:t> </w:t>
      </w:r>
      <w:r>
        <w:rPr/>
        <w:t>lack</w:t>
      </w:r>
      <w:r>
        <w:rPr>
          <w:spacing w:val="-1"/>
        </w:rPr>
        <w:t> </w:t>
      </w:r>
      <w:r>
        <w:rPr/>
        <w:t>of</w:t>
      </w:r>
      <w:r>
        <w:rPr>
          <w:spacing w:val="-2"/>
        </w:rPr>
        <w:t> </w:t>
      </w:r>
      <w:r>
        <w:rPr/>
        <w:t>boundaries</w:t>
      </w:r>
      <w:r>
        <w:rPr>
          <w:spacing w:val="-1"/>
        </w:rPr>
        <w:t> </w:t>
      </w:r>
      <w:r>
        <w:rPr/>
        <w:t>between</w:t>
      </w:r>
      <w:r>
        <w:rPr>
          <w:spacing w:val="-1"/>
        </w:rPr>
        <w:t> </w:t>
      </w:r>
      <w:r>
        <w:rPr/>
        <w:t>work</w:t>
      </w:r>
      <w:r>
        <w:rPr>
          <w:spacing w:val="-1"/>
        </w:rPr>
        <w:t> </w:t>
      </w:r>
      <w:r>
        <w:rPr/>
        <w:t>and</w:t>
      </w:r>
      <w:r>
        <w:rPr>
          <w:spacing w:val="-1"/>
        </w:rPr>
        <w:t> </w:t>
      </w:r>
      <w:r>
        <w:rPr/>
        <w:t>home,</w:t>
      </w:r>
      <w:r>
        <w:rPr>
          <w:spacing w:val="-1"/>
        </w:rPr>
        <w:t> </w:t>
      </w:r>
      <w:r>
        <w:rPr/>
        <w:t>perceived</w:t>
      </w:r>
      <w:r>
        <w:rPr>
          <w:spacing w:val="-1"/>
        </w:rPr>
        <w:t> </w:t>
      </w:r>
      <w:r>
        <w:rPr/>
        <w:t>isolation,</w:t>
      </w:r>
      <w:r>
        <w:rPr>
          <w:spacing w:val="-1"/>
        </w:rPr>
        <w:t> </w:t>
      </w:r>
      <w:r>
        <w:rPr/>
        <w:t>and emotional drainage. All participants acknowledged that their engagement with clients and coworkers</w:t>
      </w:r>
      <w:r>
        <w:rPr>
          <w:spacing w:val="-4"/>
        </w:rPr>
        <w:t> </w:t>
      </w:r>
      <w:r>
        <w:rPr/>
        <w:t>were</w:t>
      </w:r>
      <w:r>
        <w:rPr>
          <w:spacing w:val="-5"/>
        </w:rPr>
        <w:t> </w:t>
      </w:r>
      <w:r>
        <w:rPr/>
        <w:t>negatively</w:t>
      </w:r>
      <w:r>
        <w:rPr>
          <w:spacing w:val="-4"/>
        </w:rPr>
        <w:t> </w:t>
      </w:r>
      <w:r>
        <w:rPr/>
        <w:t>affected</w:t>
      </w:r>
      <w:r>
        <w:rPr>
          <w:spacing w:val="-4"/>
        </w:rPr>
        <w:t> </w:t>
      </w:r>
      <w:r>
        <w:rPr/>
        <w:t>when</w:t>
      </w:r>
      <w:r>
        <w:rPr>
          <w:spacing w:val="-4"/>
        </w:rPr>
        <w:t> </w:t>
      </w:r>
      <w:r>
        <w:rPr/>
        <w:t>they</w:t>
      </w:r>
      <w:r>
        <w:rPr>
          <w:spacing w:val="-4"/>
        </w:rPr>
        <w:t> </w:t>
      </w:r>
      <w:r>
        <w:rPr/>
        <w:t>experienced</w:t>
      </w:r>
      <w:r>
        <w:rPr>
          <w:spacing w:val="-4"/>
        </w:rPr>
        <w:t> </w:t>
      </w:r>
      <w:r>
        <w:rPr/>
        <w:t>burn</w:t>
      </w:r>
      <w:r>
        <w:rPr>
          <w:spacing w:val="-4"/>
        </w:rPr>
        <w:t> </w:t>
      </w:r>
      <w:r>
        <w:rPr/>
        <w:t>out.</w:t>
      </w:r>
      <w:r>
        <w:rPr>
          <w:spacing w:val="-4"/>
        </w:rPr>
        <w:t> </w:t>
      </w:r>
      <w:r>
        <w:rPr/>
        <w:t>Most</w:t>
      </w:r>
      <w:r>
        <w:rPr>
          <w:spacing w:val="-4"/>
        </w:rPr>
        <w:t> </w:t>
      </w:r>
      <w:r>
        <w:rPr/>
        <w:t>participants</w:t>
      </w:r>
      <w:r>
        <w:rPr>
          <w:spacing w:val="-4"/>
        </w:rPr>
        <w:t> </w:t>
      </w:r>
      <w:r>
        <w:rPr/>
        <w:t>described themselves as resilient and all attributed remaining in the field for so long by taking time off, having social support, maintaining boundaries between work and home, and gaining self- awareness to engage in effective self-care.</w:t>
      </w:r>
    </w:p>
    <w:p>
      <w:pPr>
        <w:pStyle w:val="BodyText"/>
        <w:ind w:left="0"/>
      </w:pPr>
    </w:p>
    <w:p>
      <w:pPr>
        <w:pStyle w:val="BodyText"/>
        <w:ind w:left="120"/>
      </w:pPr>
      <w:r>
        <w:rPr/>
        <w:t>Jessica</w:t>
      </w:r>
      <w:r>
        <w:rPr>
          <w:spacing w:val="-3"/>
        </w:rPr>
        <w:t> </w:t>
      </w:r>
      <w:r>
        <w:rPr>
          <w:spacing w:val="-2"/>
        </w:rPr>
        <w:t>Johnson</w:t>
      </w:r>
    </w:p>
    <w:p>
      <w:pPr>
        <w:pStyle w:val="BodyText"/>
        <w:ind w:left="120"/>
      </w:pPr>
      <w:r>
        <w:rPr/>
        <w:t>Examining</w:t>
      </w:r>
      <w:r>
        <w:rPr>
          <w:spacing w:val="-4"/>
        </w:rPr>
        <w:t> </w:t>
      </w:r>
      <w:r>
        <w:rPr/>
        <w:t>the</w:t>
      </w:r>
      <w:r>
        <w:rPr>
          <w:spacing w:val="-3"/>
        </w:rPr>
        <w:t> </w:t>
      </w:r>
      <w:r>
        <w:rPr/>
        <w:t>Clinical</w:t>
      </w:r>
      <w:r>
        <w:rPr>
          <w:spacing w:val="-2"/>
        </w:rPr>
        <w:t> </w:t>
      </w:r>
      <w:r>
        <w:rPr/>
        <w:t>Process</w:t>
      </w:r>
      <w:r>
        <w:rPr>
          <w:spacing w:val="-1"/>
        </w:rPr>
        <w:t> </w:t>
      </w:r>
      <w:r>
        <w:rPr/>
        <w:t>of</w:t>
      </w:r>
      <w:r>
        <w:rPr>
          <w:spacing w:val="-3"/>
        </w:rPr>
        <w:t> </w:t>
      </w:r>
      <w:r>
        <w:rPr/>
        <w:t>Counseling</w:t>
      </w:r>
      <w:r>
        <w:rPr>
          <w:spacing w:val="-2"/>
        </w:rPr>
        <w:t> </w:t>
      </w:r>
      <w:r>
        <w:rPr/>
        <w:t>Fire</w:t>
      </w:r>
      <w:r>
        <w:rPr>
          <w:spacing w:val="-2"/>
        </w:rPr>
        <w:t> Wives</w:t>
      </w:r>
    </w:p>
    <w:p>
      <w:pPr>
        <w:pStyle w:val="BodyText"/>
        <w:ind w:left="120" w:right="190"/>
      </w:pPr>
      <w:r>
        <w:rPr/>
        <w:t>There is scant research about the lived experiences of firefighter wives, and none found on working with fire wives in a clinical setting. This study aims to explore how fire wives are impacted</w:t>
      </w:r>
      <w:r>
        <w:rPr>
          <w:spacing w:val="-1"/>
        </w:rPr>
        <w:t> </w:t>
      </w:r>
      <w:r>
        <w:rPr/>
        <w:t>from</w:t>
      </w:r>
      <w:r>
        <w:rPr>
          <w:spacing w:val="-1"/>
        </w:rPr>
        <w:t> </w:t>
      </w:r>
      <w:r>
        <w:rPr/>
        <w:t>the</w:t>
      </w:r>
      <w:r>
        <w:rPr>
          <w:spacing w:val="-2"/>
        </w:rPr>
        <w:t> </w:t>
      </w:r>
      <w:r>
        <w:rPr/>
        <w:t>firefighter’s</w:t>
      </w:r>
      <w:r>
        <w:rPr>
          <w:spacing w:val="-1"/>
        </w:rPr>
        <w:t> </w:t>
      </w:r>
      <w:r>
        <w:rPr/>
        <w:t>experience</w:t>
      </w:r>
      <w:r>
        <w:rPr>
          <w:spacing w:val="-2"/>
        </w:rPr>
        <w:t> </w:t>
      </w:r>
      <w:r>
        <w:rPr/>
        <w:t>of</w:t>
      </w:r>
      <w:r>
        <w:rPr>
          <w:spacing w:val="-2"/>
        </w:rPr>
        <w:t> </w:t>
      </w:r>
      <w:r>
        <w:rPr/>
        <w:t>on-the-job</w:t>
      </w:r>
      <w:r>
        <w:rPr>
          <w:spacing w:val="-1"/>
        </w:rPr>
        <w:t> </w:t>
      </w:r>
      <w:r>
        <w:rPr/>
        <w:t>trauma,</w:t>
      </w:r>
      <w:r>
        <w:rPr>
          <w:spacing w:val="-1"/>
        </w:rPr>
        <w:t> </w:t>
      </w:r>
      <w:r>
        <w:rPr/>
        <w:t>fire</w:t>
      </w:r>
      <w:r>
        <w:rPr>
          <w:spacing w:val="-2"/>
        </w:rPr>
        <w:t> </w:t>
      </w:r>
      <w:r>
        <w:rPr/>
        <w:t>culture,</w:t>
      </w:r>
      <w:r>
        <w:rPr>
          <w:spacing w:val="-1"/>
        </w:rPr>
        <w:t> </w:t>
      </w:r>
      <w:r>
        <w:rPr/>
        <w:t>and</w:t>
      </w:r>
      <w:r>
        <w:rPr>
          <w:spacing w:val="-1"/>
        </w:rPr>
        <w:t> </w:t>
      </w:r>
      <w:r>
        <w:rPr/>
        <w:t>logistics</w:t>
      </w:r>
      <w:r>
        <w:rPr>
          <w:spacing w:val="-1"/>
        </w:rPr>
        <w:t> </w:t>
      </w:r>
      <w:r>
        <w:rPr/>
        <w:t>of</w:t>
      </w:r>
      <w:r>
        <w:rPr>
          <w:spacing w:val="-2"/>
        </w:rPr>
        <w:t> </w:t>
      </w:r>
      <w:r>
        <w:rPr/>
        <w:t>the career.</w:t>
      </w:r>
      <w:r>
        <w:rPr>
          <w:spacing w:val="-4"/>
        </w:rPr>
        <w:t> </w:t>
      </w:r>
      <w:r>
        <w:rPr/>
        <w:t>Three</w:t>
      </w:r>
      <w:r>
        <w:rPr>
          <w:spacing w:val="-5"/>
        </w:rPr>
        <w:t> </w:t>
      </w:r>
      <w:r>
        <w:rPr/>
        <w:t>participants</w:t>
      </w:r>
      <w:r>
        <w:rPr>
          <w:spacing w:val="-2"/>
        </w:rPr>
        <w:t> </w:t>
      </w:r>
      <w:r>
        <w:rPr/>
        <w:t>were</w:t>
      </w:r>
      <w:r>
        <w:rPr>
          <w:spacing w:val="-5"/>
        </w:rPr>
        <w:t> </w:t>
      </w:r>
      <w:r>
        <w:rPr/>
        <w:t>identified</w:t>
      </w:r>
      <w:r>
        <w:rPr>
          <w:spacing w:val="-4"/>
        </w:rPr>
        <w:t> </w:t>
      </w:r>
      <w:r>
        <w:rPr/>
        <w:t>based</w:t>
      </w:r>
      <w:r>
        <w:rPr>
          <w:spacing w:val="-4"/>
        </w:rPr>
        <w:t> </w:t>
      </w:r>
      <w:r>
        <w:rPr/>
        <w:t>on</w:t>
      </w:r>
      <w:r>
        <w:rPr>
          <w:spacing w:val="-2"/>
        </w:rPr>
        <w:t> </w:t>
      </w:r>
      <w:r>
        <w:rPr/>
        <w:t>their</w:t>
      </w:r>
      <w:r>
        <w:rPr>
          <w:spacing w:val="-5"/>
        </w:rPr>
        <w:t> </w:t>
      </w:r>
      <w:r>
        <w:rPr/>
        <w:t>extensive</w:t>
      </w:r>
      <w:r>
        <w:rPr>
          <w:spacing w:val="-5"/>
        </w:rPr>
        <w:t> </w:t>
      </w:r>
      <w:r>
        <w:rPr/>
        <w:t>clinical</w:t>
      </w:r>
      <w:r>
        <w:rPr>
          <w:spacing w:val="-2"/>
        </w:rPr>
        <w:t> </w:t>
      </w:r>
      <w:r>
        <w:rPr/>
        <w:t>work</w:t>
      </w:r>
      <w:r>
        <w:rPr>
          <w:spacing w:val="-4"/>
        </w:rPr>
        <w:t> </w:t>
      </w:r>
      <w:r>
        <w:rPr/>
        <w:t>with</w:t>
      </w:r>
      <w:r>
        <w:rPr>
          <w:spacing w:val="-4"/>
        </w:rPr>
        <w:t> </w:t>
      </w:r>
      <w:r>
        <w:rPr/>
        <w:t>firefighters and firefighters. These participants interviewed about their clinical experience of working with fire</w:t>
      </w:r>
      <w:r>
        <w:rPr>
          <w:spacing w:val="-4"/>
        </w:rPr>
        <w:t> </w:t>
      </w:r>
      <w:r>
        <w:rPr/>
        <w:t>wives</w:t>
      </w:r>
      <w:r>
        <w:rPr>
          <w:spacing w:val="-3"/>
        </w:rPr>
        <w:t> </w:t>
      </w:r>
      <w:r>
        <w:rPr/>
        <w:t>and</w:t>
      </w:r>
      <w:r>
        <w:rPr>
          <w:spacing w:val="-1"/>
        </w:rPr>
        <w:t> </w:t>
      </w:r>
      <w:r>
        <w:rPr/>
        <w:t>themes</w:t>
      </w:r>
      <w:r>
        <w:rPr>
          <w:spacing w:val="-3"/>
        </w:rPr>
        <w:t> </w:t>
      </w:r>
      <w:r>
        <w:rPr/>
        <w:t>emerged</w:t>
      </w:r>
      <w:r>
        <w:rPr>
          <w:spacing w:val="-3"/>
        </w:rPr>
        <w:t> </w:t>
      </w:r>
      <w:r>
        <w:rPr/>
        <w:t>about</w:t>
      </w:r>
      <w:r>
        <w:rPr>
          <w:spacing w:val="-3"/>
        </w:rPr>
        <w:t> </w:t>
      </w:r>
      <w:r>
        <w:rPr/>
        <w:t>the</w:t>
      </w:r>
      <w:r>
        <w:rPr>
          <w:spacing w:val="-4"/>
        </w:rPr>
        <w:t> </w:t>
      </w:r>
      <w:r>
        <w:rPr/>
        <w:t>impact</w:t>
      </w:r>
      <w:r>
        <w:rPr>
          <w:spacing w:val="-3"/>
        </w:rPr>
        <w:t> </w:t>
      </w:r>
      <w:r>
        <w:rPr/>
        <w:t>of</w:t>
      </w:r>
      <w:r>
        <w:rPr>
          <w:spacing w:val="-2"/>
        </w:rPr>
        <w:t> </w:t>
      </w:r>
      <w:r>
        <w:rPr/>
        <w:t>chronic</w:t>
      </w:r>
      <w:r>
        <w:rPr>
          <w:spacing w:val="-4"/>
        </w:rPr>
        <w:t> </w:t>
      </w:r>
      <w:r>
        <w:rPr/>
        <w:t>trauma</w:t>
      </w:r>
      <w:r>
        <w:rPr>
          <w:spacing w:val="-4"/>
        </w:rPr>
        <w:t> </w:t>
      </w:r>
      <w:r>
        <w:rPr/>
        <w:t>of</w:t>
      </w:r>
      <w:r>
        <w:rPr>
          <w:spacing w:val="-4"/>
        </w:rPr>
        <w:t> </w:t>
      </w:r>
      <w:r>
        <w:rPr/>
        <w:t>the</w:t>
      </w:r>
      <w:r>
        <w:rPr>
          <w:spacing w:val="-4"/>
        </w:rPr>
        <w:t> </w:t>
      </w:r>
      <w:r>
        <w:rPr/>
        <w:t>firefighter</w:t>
      </w:r>
      <w:r>
        <w:rPr>
          <w:spacing w:val="-4"/>
        </w:rPr>
        <w:t> </w:t>
      </w:r>
      <w:r>
        <w:rPr/>
        <w:t>on</w:t>
      </w:r>
      <w:r>
        <w:rPr>
          <w:spacing w:val="-3"/>
        </w:rPr>
        <w:t> </w:t>
      </w:r>
      <w:r>
        <w:rPr/>
        <w:t>the</w:t>
      </w:r>
      <w:r>
        <w:rPr>
          <w:spacing w:val="-4"/>
        </w:rPr>
        <w:t> </w:t>
      </w:r>
      <w:r>
        <w:rPr/>
        <w:t>wife, the overall lack of support for the wife, and the overwhelming loneliness and isolation. This research could be used to inform departmental leadership in creating a culture to improve</w:t>
      </w:r>
      <w:r>
        <w:rPr>
          <w:spacing w:val="40"/>
        </w:rPr>
        <w:t> </w:t>
      </w:r>
      <w:r>
        <w:rPr/>
        <w:t>for fire families as well as helping clinicians work with fire wives in ways that builds resiliency.</w:t>
      </w:r>
    </w:p>
    <w:p>
      <w:pPr>
        <w:pStyle w:val="BodyText"/>
        <w:ind w:left="120"/>
      </w:pPr>
      <w:r>
        <w:rPr/>
        <w:t>Nicole</w:t>
      </w:r>
      <w:r>
        <w:rPr>
          <w:spacing w:val="-3"/>
        </w:rPr>
        <w:t> </w:t>
      </w:r>
      <w:r>
        <w:rPr>
          <w:spacing w:val="-4"/>
        </w:rPr>
        <w:t>Laub</w:t>
      </w:r>
    </w:p>
    <w:p>
      <w:pPr>
        <w:pStyle w:val="BodyText"/>
        <w:ind w:right="130"/>
      </w:pPr>
      <w:r>
        <w:rPr/>
        <w:t>Exploring</w:t>
      </w:r>
      <w:r>
        <w:rPr>
          <w:spacing w:val="-4"/>
        </w:rPr>
        <w:t> </w:t>
      </w:r>
      <w:r>
        <w:rPr/>
        <w:t>How</w:t>
      </w:r>
      <w:r>
        <w:rPr>
          <w:spacing w:val="-4"/>
        </w:rPr>
        <w:t> </w:t>
      </w:r>
      <w:r>
        <w:rPr/>
        <w:t>Therapists</w:t>
      </w:r>
      <w:r>
        <w:rPr>
          <w:spacing w:val="-4"/>
        </w:rPr>
        <w:t> </w:t>
      </w:r>
      <w:r>
        <w:rPr/>
        <w:t>Address</w:t>
      </w:r>
      <w:r>
        <w:rPr>
          <w:spacing w:val="-4"/>
        </w:rPr>
        <w:t> </w:t>
      </w:r>
      <w:r>
        <w:rPr/>
        <w:t>Family</w:t>
      </w:r>
      <w:r>
        <w:rPr>
          <w:spacing w:val="-4"/>
        </w:rPr>
        <w:t> </w:t>
      </w:r>
      <w:r>
        <w:rPr/>
        <w:t>Influences</w:t>
      </w:r>
      <w:r>
        <w:rPr>
          <w:spacing w:val="-4"/>
        </w:rPr>
        <w:t> </w:t>
      </w:r>
      <w:r>
        <w:rPr/>
        <w:t>on</w:t>
      </w:r>
      <w:r>
        <w:rPr>
          <w:spacing w:val="-4"/>
        </w:rPr>
        <w:t> </w:t>
      </w:r>
      <w:r>
        <w:rPr/>
        <w:t>Disordered</w:t>
      </w:r>
      <w:r>
        <w:rPr>
          <w:spacing w:val="-4"/>
        </w:rPr>
        <w:t> </w:t>
      </w:r>
      <w:r>
        <w:rPr/>
        <w:t>Eating</w:t>
      </w:r>
      <w:r>
        <w:rPr>
          <w:spacing w:val="-4"/>
        </w:rPr>
        <w:t> </w:t>
      </w:r>
      <w:r>
        <w:rPr/>
        <w:t>in</w:t>
      </w:r>
      <w:r>
        <w:rPr>
          <w:spacing w:val="-4"/>
        </w:rPr>
        <w:t> </w:t>
      </w:r>
      <w:r>
        <w:rPr/>
        <w:t>Girls</w:t>
      </w:r>
      <w:r>
        <w:rPr>
          <w:spacing w:val="-4"/>
        </w:rPr>
        <w:t> </w:t>
      </w:r>
      <w:r>
        <w:rPr/>
        <w:t>and</w:t>
      </w:r>
      <w:r>
        <w:rPr>
          <w:spacing w:val="-4"/>
        </w:rPr>
        <w:t> </w:t>
      </w:r>
      <w:r>
        <w:rPr/>
        <w:t>Women The</w:t>
      </w:r>
      <w:r>
        <w:rPr>
          <w:spacing w:val="-2"/>
        </w:rPr>
        <w:t> </w:t>
      </w:r>
      <w:r>
        <w:rPr/>
        <w:t>present</w:t>
      </w:r>
      <w:r>
        <w:rPr>
          <w:spacing w:val="-1"/>
        </w:rPr>
        <w:t> </w:t>
      </w:r>
      <w:r>
        <w:rPr/>
        <w:t>qualitative</w:t>
      </w:r>
      <w:r>
        <w:rPr>
          <w:spacing w:val="-2"/>
        </w:rPr>
        <w:t> </w:t>
      </w:r>
      <w:r>
        <w:rPr/>
        <w:t>study</w:t>
      </w:r>
      <w:r>
        <w:rPr>
          <w:spacing w:val="-1"/>
        </w:rPr>
        <w:t> </w:t>
      </w:r>
      <w:r>
        <w:rPr/>
        <w:t>explores</w:t>
      </w:r>
      <w:r>
        <w:rPr>
          <w:spacing w:val="-1"/>
        </w:rPr>
        <w:t> </w:t>
      </w:r>
      <w:r>
        <w:rPr/>
        <w:t>the</w:t>
      </w:r>
      <w:r>
        <w:rPr>
          <w:spacing w:val="-2"/>
        </w:rPr>
        <w:t> </w:t>
      </w:r>
      <w:r>
        <w:rPr/>
        <w:t>ways</w:t>
      </w:r>
      <w:r>
        <w:rPr>
          <w:spacing w:val="-1"/>
        </w:rPr>
        <w:t> </w:t>
      </w:r>
      <w:r>
        <w:rPr/>
        <w:t>in</w:t>
      </w:r>
      <w:r>
        <w:rPr>
          <w:spacing w:val="-1"/>
        </w:rPr>
        <w:t> </w:t>
      </w:r>
      <w:r>
        <w:rPr/>
        <w:t>which</w:t>
      </w:r>
      <w:r>
        <w:rPr>
          <w:spacing w:val="-1"/>
        </w:rPr>
        <w:t> </w:t>
      </w:r>
      <w:r>
        <w:rPr/>
        <w:t>the</w:t>
      </w:r>
      <w:r>
        <w:rPr>
          <w:spacing w:val="-2"/>
        </w:rPr>
        <w:t> </w:t>
      </w:r>
      <w:r>
        <w:rPr/>
        <w:t>family</w:t>
      </w:r>
      <w:r>
        <w:rPr>
          <w:spacing w:val="-1"/>
        </w:rPr>
        <w:t> </w:t>
      </w:r>
      <w:r>
        <w:rPr/>
        <w:t>system</w:t>
      </w:r>
      <w:r>
        <w:rPr>
          <w:spacing w:val="-1"/>
        </w:rPr>
        <w:t> </w:t>
      </w:r>
      <w:r>
        <w:rPr/>
        <w:t>can</w:t>
      </w:r>
      <w:r>
        <w:rPr>
          <w:spacing w:val="-1"/>
        </w:rPr>
        <w:t> </w:t>
      </w:r>
      <w:r>
        <w:rPr/>
        <w:t>foster</w:t>
      </w:r>
      <w:r>
        <w:rPr>
          <w:spacing w:val="-2"/>
        </w:rPr>
        <w:t> </w:t>
      </w:r>
      <w:r>
        <w:rPr/>
        <w:t>disordered eating patterns in girls and women and how therapists involve the family in treatment. Three clinicians were interviewed to share their experiences working with clients who suffer from disorder eating habits using family-based treatment. The data from these interviews was then categorized</w:t>
      </w:r>
      <w:r>
        <w:rPr>
          <w:spacing w:val="-4"/>
        </w:rPr>
        <w:t> </w:t>
      </w:r>
      <w:r>
        <w:rPr/>
        <w:t>through</w:t>
      </w:r>
      <w:r>
        <w:rPr>
          <w:spacing w:val="-4"/>
        </w:rPr>
        <w:t> </w:t>
      </w:r>
      <w:r>
        <w:rPr/>
        <w:t>thematic</w:t>
      </w:r>
      <w:r>
        <w:rPr>
          <w:spacing w:val="-5"/>
        </w:rPr>
        <w:t> </w:t>
      </w:r>
      <w:r>
        <w:rPr/>
        <w:t>analysis</w:t>
      </w:r>
      <w:r>
        <w:rPr>
          <w:spacing w:val="-4"/>
        </w:rPr>
        <w:t> </w:t>
      </w:r>
      <w:r>
        <w:rPr/>
        <w:t>which</w:t>
      </w:r>
      <w:r>
        <w:rPr>
          <w:spacing w:val="-4"/>
        </w:rPr>
        <w:t> </w:t>
      </w:r>
      <w:r>
        <w:rPr/>
        <w:t>revealed</w:t>
      </w:r>
      <w:r>
        <w:rPr>
          <w:spacing w:val="-4"/>
        </w:rPr>
        <w:t> </w:t>
      </w:r>
      <w:r>
        <w:rPr/>
        <w:t>five</w:t>
      </w:r>
      <w:r>
        <w:rPr>
          <w:spacing w:val="-5"/>
        </w:rPr>
        <w:t> </w:t>
      </w:r>
      <w:r>
        <w:rPr/>
        <w:t>main</w:t>
      </w:r>
      <w:r>
        <w:rPr>
          <w:spacing w:val="-4"/>
        </w:rPr>
        <w:t> </w:t>
      </w:r>
      <w:r>
        <w:rPr/>
        <w:t>themes:</w:t>
      </w:r>
      <w:r>
        <w:rPr>
          <w:spacing w:val="-4"/>
        </w:rPr>
        <w:t> </w:t>
      </w:r>
      <w:r>
        <w:rPr/>
        <w:t>observed</w:t>
      </w:r>
      <w:r>
        <w:rPr>
          <w:spacing w:val="-4"/>
        </w:rPr>
        <w:t> </w:t>
      </w:r>
      <w:r>
        <w:rPr/>
        <w:t>family</w:t>
      </w:r>
      <w:r>
        <w:rPr>
          <w:spacing w:val="-4"/>
        </w:rPr>
        <w:t> </w:t>
      </w:r>
      <w:r>
        <w:rPr/>
        <w:t>impact, what works in treatment, challenges in treatment, family-based treatment for adults, and treatment for subclinical eating disorders. The results were examined to determine where they confirmed, challenged, or added to existing literature. The findings of this study suggest clinicians who treat eating disorders should consider the role of the family in their client’s condition as well as maintain flexibility in treatment. The researcher concluded by offering clinical implications of the results and proposing future areas of research.</w:t>
      </w:r>
    </w:p>
    <w:p>
      <w:pPr>
        <w:pStyle w:val="BodyText"/>
        <w:ind w:left="0"/>
      </w:pPr>
    </w:p>
    <w:p>
      <w:pPr>
        <w:pStyle w:val="BodyText"/>
        <w:ind w:left="0"/>
      </w:pPr>
    </w:p>
    <w:p>
      <w:pPr>
        <w:pStyle w:val="BodyText"/>
        <w:ind w:left="0"/>
      </w:pPr>
    </w:p>
    <w:p>
      <w:pPr>
        <w:pStyle w:val="BodyText"/>
        <w:spacing w:before="1"/>
      </w:pPr>
      <w:r>
        <w:rPr/>
        <w:t>Sally</w:t>
      </w:r>
      <w:r>
        <w:rPr>
          <w:spacing w:val="-1"/>
        </w:rPr>
        <w:t> </w:t>
      </w:r>
      <w:r>
        <w:rPr>
          <w:spacing w:val="-4"/>
        </w:rPr>
        <w:t>Roub</w:t>
      </w:r>
    </w:p>
    <w:p>
      <w:pPr>
        <w:pStyle w:val="BodyText"/>
        <w:ind w:right="257"/>
      </w:pPr>
      <w:r>
        <w:rPr/>
        <w:t>The</w:t>
      </w:r>
      <w:r>
        <w:rPr>
          <w:spacing w:val="-5"/>
        </w:rPr>
        <w:t> </w:t>
      </w:r>
      <w:r>
        <w:rPr/>
        <w:t>Holistic</w:t>
      </w:r>
      <w:r>
        <w:rPr>
          <w:spacing w:val="-5"/>
        </w:rPr>
        <w:t> </w:t>
      </w:r>
      <w:r>
        <w:rPr/>
        <w:t>Soul:</w:t>
      </w:r>
      <w:r>
        <w:rPr>
          <w:spacing w:val="-4"/>
        </w:rPr>
        <w:t> </w:t>
      </w:r>
      <w:r>
        <w:rPr/>
        <w:t>A</w:t>
      </w:r>
      <w:r>
        <w:rPr>
          <w:spacing w:val="-5"/>
        </w:rPr>
        <w:t> </w:t>
      </w:r>
      <w:r>
        <w:rPr/>
        <w:t>Humanistic</w:t>
      </w:r>
      <w:r>
        <w:rPr>
          <w:spacing w:val="-5"/>
        </w:rPr>
        <w:t> </w:t>
      </w:r>
      <w:r>
        <w:rPr/>
        <w:t>Approach</w:t>
      </w:r>
      <w:r>
        <w:rPr>
          <w:spacing w:val="-4"/>
        </w:rPr>
        <w:t> </w:t>
      </w:r>
      <w:r>
        <w:rPr/>
        <w:t>to</w:t>
      </w:r>
      <w:r>
        <w:rPr>
          <w:spacing w:val="-4"/>
        </w:rPr>
        <w:t> </w:t>
      </w:r>
      <w:r>
        <w:rPr/>
        <w:t>Exploring</w:t>
      </w:r>
      <w:r>
        <w:rPr>
          <w:spacing w:val="-4"/>
        </w:rPr>
        <w:t> </w:t>
      </w:r>
      <w:r>
        <w:rPr/>
        <w:t>Sexual</w:t>
      </w:r>
      <w:r>
        <w:rPr>
          <w:spacing w:val="-4"/>
        </w:rPr>
        <w:t> </w:t>
      </w:r>
      <w:r>
        <w:rPr/>
        <w:t>Energy</w:t>
      </w:r>
      <w:r>
        <w:rPr>
          <w:spacing w:val="-4"/>
        </w:rPr>
        <w:t> </w:t>
      </w:r>
      <w:r>
        <w:rPr/>
        <w:t>and</w:t>
      </w:r>
      <w:r>
        <w:rPr>
          <w:spacing w:val="-4"/>
        </w:rPr>
        <w:t> </w:t>
      </w:r>
      <w:r>
        <w:rPr/>
        <w:t>Self-Expression The present study explores the impact of cultural stigma and normative expectations on an individual’s capacity to live authentically and freely express their experienced sexuality.</w:t>
      </w:r>
    </w:p>
    <w:p>
      <w:pPr>
        <w:pStyle w:val="BodyText"/>
        <w:ind w:right="24"/>
      </w:pPr>
      <w:r>
        <w:rPr/>
        <w:t>Humanistic</w:t>
      </w:r>
      <w:r>
        <w:rPr>
          <w:spacing w:val="-4"/>
        </w:rPr>
        <w:t> </w:t>
      </w:r>
      <w:r>
        <w:rPr/>
        <w:t>approaches</w:t>
      </w:r>
      <w:r>
        <w:rPr>
          <w:spacing w:val="-3"/>
        </w:rPr>
        <w:t> </w:t>
      </w:r>
      <w:r>
        <w:rPr/>
        <w:t>for</w:t>
      </w:r>
      <w:r>
        <w:rPr>
          <w:spacing w:val="-4"/>
        </w:rPr>
        <w:t> </w:t>
      </w:r>
      <w:r>
        <w:rPr/>
        <w:t>working</w:t>
      </w:r>
      <w:r>
        <w:rPr>
          <w:spacing w:val="-3"/>
        </w:rPr>
        <w:t> </w:t>
      </w:r>
      <w:r>
        <w:rPr/>
        <w:t>with</w:t>
      </w:r>
      <w:r>
        <w:rPr>
          <w:spacing w:val="-3"/>
        </w:rPr>
        <w:t> </w:t>
      </w:r>
      <w:r>
        <w:rPr/>
        <w:t>sexual</w:t>
      </w:r>
      <w:r>
        <w:rPr>
          <w:spacing w:val="-3"/>
        </w:rPr>
        <w:t> </w:t>
      </w:r>
      <w:r>
        <w:rPr/>
        <w:t>identity</w:t>
      </w:r>
      <w:r>
        <w:rPr>
          <w:spacing w:val="-3"/>
        </w:rPr>
        <w:t> </w:t>
      </w:r>
      <w:r>
        <w:rPr/>
        <w:t>repression</w:t>
      </w:r>
      <w:r>
        <w:rPr>
          <w:spacing w:val="-3"/>
        </w:rPr>
        <w:t> </w:t>
      </w:r>
      <w:r>
        <w:rPr/>
        <w:t>were</w:t>
      </w:r>
      <w:r>
        <w:rPr>
          <w:spacing w:val="-4"/>
        </w:rPr>
        <w:t> </w:t>
      </w:r>
      <w:r>
        <w:rPr/>
        <w:t>also</w:t>
      </w:r>
      <w:r>
        <w:rPr>
          <w:spacing w:val="-3"/>
        </w:rPr>
        <w:t> </w:t>
      </w:r>
      <w:r>
        <w:rPr/>
        <w:t>reviewed</w:t>
      </w:r>
      <w:r>
        <w:rPr>
          <w:spacing w:val="-3"/>
        </w:rPr>
        <w:t> </w:t>
      </w:r>
      <w:r>
        <w:rPr/>
        <w:t>to</w:t>
      </w:r>
      <w:r>
        <w:rPr>
          <w:spacing w:val="-3"/>
        </w:rPr>
        <w:t> </w:t>
      </w:r>
      <w:r>
        <w:rPr/>
        <w:t>expand clinical knowledge</w:t>
      </w:r>
      <w:r>
        <w:rPr>
          <w:spacing w:val="-1"/>
        </w:rPr>
        <w:t> </w:t>
      </w:r>
      <w:r>
        <w:rPr/>
        <w:t>regarding holistic</w:t>
      </w:r>
      <w:r>
        <w:rPr>
          <w:spacing w:val="-1"/>
        </w:rPr>
        <w:t> </w:t>
      </w:r>
      <w:r>
        <w:rPr/>
        <w:t>sexualities and spiritual aspects of</w:t>
      </w:r>
      <w:r>
        <w:rPr>
          <w:spacing w:val="-1"/>
        </w:rPr>
        <w:t> </w:t>
      </w:r>
      <w:r>
        <w:rPr/>
        <w:t>the self. Qualitative</w:t>
      </w:r>
      <w:r>
        <w:rPr>
          <w:spacing w:val="-1"/>
        </w:rPr>
        <w:t> </w:t>
      </w:r>
      <w:r>
        <w:rPr/>
        <w:t>data was gathered, and semi-structured interviews were conducted with five mental health professionals that specialize in human sexuality and treating identity repression. Seven primary themes emerged from the interviews: clinical understandings of</w:t>
      </w:r>
      <w:r>
        <w:rPr>
          <w:spacing w:val="-1"/>
        </w:rPr>
        <w:t> </w:t>
      </w:r>
      <w:r>
        <w:rPr/>
        <w:t>sexuality, authenticity, modeling and representation, sexual identity repression, prideful sexuality, humanistic approaches, and counselor considerations. Findings suggest that clinicians and clients could benefit from a better understanding of how one’s multiple intersecting identities contribute to an individual’s</w:t>
      </w:r>
    </w:p>
    <w:p>
      <w:pPr>
        <w:spacing w:after="0"/>
        <w:sectPr>
          <w:pgSz w:w="12240" w:h="15840"/>
          <w:pgMar w:top="1360" w:bottom="280" w:left="1320" w:right="1340"/>
        </w:sectPr>
      </w:pPr>
    </w:p>
    <w:p>
      <w:pPr>
        <w:pStyle w:val="BodyText"/>
        <w:spacing w:before="79"/>
        <w:ind w:left="120" w:right="130"/>
      </w:pPr>
      <w:r>
        <w:rPr/>
        <w:t>sexuality. Furthermore, as humanistic approaches often focus on empowerment and client- centered</w:t>
      </w:r>
      <w:r>
        <w:rPr>
          <w:spacing w:val="-3"/>
        </w:rPr>
        <w:t> </w:t>
      </w:r>
      <w:r>
        <w:rPr/>
        <w:t>treatment,</w:t>
      </w:r>
      <w:r>
        <w:rPr>
          <w:spacing w:val="-3"/>
        </w:rPr>
        <w:t> </w:t>
      </w:r>
      <w:r>
        <w:rPr/>
        <w:t>the</w:t>
      </w:r>
      <w:r>
        <w:rPr>
          <w:spacing w:val="-4"/>
        </w:rPr>
        <w:t> </w:t>
      </w:r>
      <w:r>
        <w:rPr/>
        <w:t>findings</w:t>
      </w:r>
      <w:r>
        <w:rPr>
          <w:spacing w:val="-3"/>
        </w:rPr>
        <w:t> </w:t>
      </w:r>
      <w:r>
        <w:rPr/>
        <w:t>infer</w:t>
      </w:r>
      <w:r>
        <w:rPr>
          <w:spacing w:val="-4"/>
        </w:rPr>
        <w:t> </w:t>
      </w:r>
      <w:r>
        <w:rPr/>
        <w:t>that</w:t>
      </w:r>
      <w:r>
        <w:rPr>
          <w:spacing w:val="-3"/>
        </w:rPr>
        <w:t> </w:t>
      </w:r>
      <w:r>
        <w:rPr/>
        <w:t>this</w:t>
      </w:r>
      <w:r>
        <w:rPr>
          <w:spacing w:val="-3"/>
        </w:rPr>
        <w:t> </w:t>
      </w:r>
      <w:r>
        <w:rPr/>
        <w:t>framework</w:t>
      </w:r>
      <w:r>
        <w:rPr>
          <w:spacing w:val="-3"/>
        </w:rPr>
        <w:t> </w:t>
      </w:r>
      <w:r>
        <w:rPr/>
        <w:t>may</w:t>
      </w:r>
      <w:r>
        <w:rPr>
          <w:spacing w:val="-3"/>
        </w:rPr>
        <w:t> </w:t>
      </w:r>
      <w:r>
        <w:rPr/>
        <w:t>be</w:t>
      </w:r>
      <w:r>
        <w:rPr>
          <w:spacing w:val="-4"/>
        </w:rPr>
        <w:t> </w:t>
      </w:r>
      <w:r>
        <w:rPr/>
        <w:t>useful</w:t>
      </w:r>
      <w:r>
        <w:rPr>
          <w:spacing w:val="-3"/>
        </w:rPr>
        <w:t> </w:t>
      </w:r>
      <w:r>
        <w:rPr/>
        <w:t>when</w:t>
      </w:r>
      <w:r>
        <w:rPr>
          <w:spacing w:val="-3"/>
        </w:rPr>
        <w:t> </w:t>
      </w:r>
      <w:r>
        <w:rPr/>
        <w:t>externalizing shame and providing clients with a space to generate nonmyopic personal narratives.</w:t>
      </w:r>
    </w:p>
    <w:p>
      <w:pPr>
        <w:pStyle w:val="BodyText"/>
        <w:ind w:left="120" w:right="190"/>
      </w:pPr>
      <w:r>
        <w:rPr/>
        <w:t>Recognizing</w:t>
      </w:r>
      <w:r>
        <w:rPr>
          <w:spacing w:val="-3"/>
        </w:rPr>
        <w:t> </w:t>
      </w:r>
      <w:r>
        <w:rPr/>
        <w:t>the</w:t>
      </w:r>
      <w:r>
        <w:rPr>
          <w:spacing w:val="-4"/>
        </w:rPr>
        <w:t> </w:t>
      </w:r>
      <w:r>
        <w:rPr/>
        <w:t>value</w:t>
      </w:r>
      <w:r>
        <w:rPr>
          <w:spacing w:val="-4"/>
        </w:rPr>
        <w:t> </w:t>
      </w:r>
      <w:r>
        <w:rPr/>
        <w:t>of</w:t>
      </w:r>
      <w:r>
        <w:rPr>
          <w:spacing w:val="-2"/>
        </w:rPr>
        <w:t> </w:t>
      </w:r>
      <w:r>
        <w:rPr/>
        <w:t>self-acceptance</w:t>
      </w:r>
      <w:r>
        <w:rPr>
          <w:spacing w:val="-2"/>
        </w:rPr>
        <w:t> </w:t>
      </w:r>
      <w:r>
        <w:rPr/>
        <w:t>and</w:t>
      </w:r>
      <w:r>
        <w:rPr>
          <w:spacing w:val="-3"/>
        </w:rPr>
        <w:t> </w:t>
      </w:r>
      <w:r>
        <w:rPr/>
        <w:t>connection</w:t>
      </w:r>
      <w:r>
        <w:rPr>
          <w:spacing w:val="-3"/>
        </w:rPr>
        <w:t> </w:t>
      </w:r>
      <w:r>
        <w:rPr/>
        <w:t>to</w:t>
      </w:r>
      <w:r>
        <w:rPr>
          <w:spacing w:val="-3"/>
        </w:rPr>
        <w:t> </w:t>
      </w:r>
      <w:r>
        <w:rPr/>
        <w:t>one’s</w:t>
      </w:r>
      <w:r>
        <w:rPr>
          <w:spacing w:val="-3"/>
        </w:rPr>
        <w:t> </w:t>
      </w:r>
      <w:r>
        <w:rPr/>
        <w:t>sexual</w:t>
      </w:r>
      <w:r>
        <w:rPr>
          <w:spacing w:val="-1"/>
        </w:rPr>
        <w:t> </w:t>
      </w:r>
      <w:r>
        <w:rPr/>
        <w:t>energy,</w:t>
      </w:r>
      <w:r>
        <w:rPr>
          <w:spacing w:val="-3"/>
        </w:rPr>
        <w:t> </w:t>
      </w:r>
      <w:r>
        <w:rPr/>
        <w:t>the</w:t>
      </w:r>
      <w:r>
        <w:rPr>
          <w:spacing w:val="-4"/>
        </w:rPr>
        <w:t> </w:t>
      </w:r>
      <w:r>
        <w:rPr/>
        <w:t>results</w:t>
      </w:r>
      <w:r>
        <w:rPr>
          <w:spacing w:val="-3"/>
        </w:rPr>
        <w:t> </w:t>
      </w:r>
      <w:r>
        <w:rPr/>
        <w:t>also indicate that holistic perspectives and expressions of the self may serve as a precursor to pride for one’s sexuality.</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19"/>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spacing w:before="1"/>
      <w:ind w:left="120"/>
    </w:pPr>
    <w:rPr>
      <w:rFonts w:ascii="Calibri" w:hAnsi="Calibri" w:eastAsia="Calibri" w:cs="Calibri"/>
      <w:sz w:val="29"/>
      <w:szCs w:val="2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S</dc:creator>
  <dc:description/>
  <dcterms:created xsi:type="dcterms:W3CDTF">2026-10-29T15:41:27Z</dcterms:created>
  <dcterms:modified xsi:type="dcterms:W3CDTF">2026-10-29T15:41:27Z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D:20240326210337</vt:lpwstr>
  </property>
</Properties>
</file>