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Default Extension="png" ContentType="image/png"/>
  <Override PartName="/docProps/custom.xml" ContentType="application/vnd.openxmlformats-officedocument.custom-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body>
    <w:p>
      <w:pPr>
        <w:pStyle w:val="BodyText"/>
        <w:ind w:left="0" w:firstLine="0"/>
        <w:rPr>
          <w:rFonts w:ascii="Times New Roman"/>
          <w:sz w:val="20"/>
        </w:rPr>
      </w:pPr>
    </w:p>
    <w:p>
      <w:pPr>
        <w:pStyle w:val="BodyText"/>
        <w:spacing w:before="54"/>
        <w:ind w:left="0" w:firstLine="0"/>
        <w:rPr>
          <w:rFonts w:ascii="Times New Roman"/>
          <w:sz w:val="20"/>
        </w:rPr>
      </w:pPr>
    </w:p>
    <w:p>
      <w:pPr>
        <w:spacing w:after="0"/>
        <w:rPr>
          <w:rFonts w:ascii="Times New Roman"/>
          <w:sz w:val="20"/>
        </w:rPr>
        <w:sectPr>
          <w:type w:val="continuous"/>
          <w:pgSz w:w="12240" w:h="15840"/>
          <w:pgMar w:top="300" w:bottom="0" w:left="40" w:right="300"/>
        </w:sectPr>
      </w:pPr>
    </w:p>
    <w:p>
      <w:pPr>
        <w:pStyle w:val="BodyText"/>
        <w:ind w:left="109" w:firstLine="0"/>
        <w:rPr>
          <w:rFonts w:ascii="Times New Roman"/>
          <w:sz w:val="20"/>
        </w:rPr>
      </w:pPr>
      <w:r>
        <w:rPr>
          <w:rFonts w:ascii="Times New Roman"/>
          <w:sz w:val="20"/>
        </w:rPr>
        <w:drawing>
          <wp:inline distT="0" distB="0" distL="0" distR="0">
            <wp:extent cx="3056256" cy="617220"/>
            <wp:effectExtent l="0" t="0" r="0" b="0"/>
            <wp:docPr id="1" name="Image 1"/>
            <wp:cNvGraphicFramePr>
              <a:graphicFrameLocks/>
            </wp:cNvGraphicFramePr>
            <a:graphic>
              <a:graphicData uri="http://schemas.openxmlformats.org/drawingml/2006/picture">
                <pic:pic>
                  <pic:nvPicPr>
                    <pic:cNvPr id="1" name="Image 1"/>
                    <pic:cNvPicPr/>
                  </pic:nvPicPr>
                  <pic:blipFill>
                    <a:blip r:embed="rId5" cstate="print"/>
                    <a:stretch>
                      <a:fillRect/>
                    </a:stretch>
                  </pic:blipFill>
                  <pic:spPr>
                    <a:xfrm>
                      <a:off x="0" y="0"/>
                      <a:ext cx="3056256" cy="617220"/>
                    </a:xfrm>
                    <a:prstGeom prst="rect">
                      <a:avLst/>
                    </a:prstGeom>
                  </pic:spPr>
                </pic:pic>
              </a:graphicData>
            </a:graphic>
          </wp:inline>
        </w:drawing>
      </w:r>
      <w:r>
        <w:rPr>
          <w:rFonts w:ascii="Times New Roman"/>
          <w:sz w:val="20"/>
        </w:rPr>
      </w:r>
    </w:p>
    <w:p>
      <w:pPr>
        <w:pStyle w:val="BodyText"/>
        <w:spacing w:before="95"/>
        <w:ind w:left="0" w:firstLine="0"/>
        <w:rPr>
          <w:rFonts w:ascii="Times New Roman"/>
          <w:sz w:val="24"/>
        </w:rPr>
      </w:pPr>
    </w:p>
    <w:p>
      <w:pPr>
        <w:spacing w:before="0"/>
        <w:ind w:left="538" w:right="0" w:firstLine="0"/>
        <w:jc w:val="left"/>
        <w:rPr>
          <w:b/>
          <w:sz w:val="24"/>
        </w:rPr>
      </w:pPr>
      <w:r>
        <w:rPr>
          <w:b/>
          <w:sz w:val="24"/>
          <w:u w:val="single"/>
        </w:rPr>
        <w:t>Celestina</w:t>
      </w:r>
      <w:r>
        <w:rPr>
          <w:b/>
          <w:spacing w:val="-4"/>
          <w:sz w:val="24"/>
          <w:u w:val="single"/>
        </w:rPr>
        <w:t> </w:t>
      </w:r>
      <w:r>
        <w:rPr>
          <w:b/>
          <w:sz w:val="24"/>
          <w:u w:val="single"/>
        </w:rPr>
        <w:t>Barbosa-Leiker,</w:t>
      </w:r>
      <w:r>
        <w:rPr>
          <w:b/>
          <w:spacing w:val="-3"/>
          <w:sz w:val="24"/>
          <w:u w:val="single"/>
        </w:rPr>
        <w:t> </w:t>
      </w:r>
      <w:r>
        <w:rPr>
          <w:b/>
          <w:spacing w:val="-4"/>
          <w:sz w:val="24"/>
          <w:u w:val="single"/>
        </w:rPr>
        <w:t>Dean</w:t>
      </w:r>
    </w:p>
    <w:p>
      <w:pPr>
        <w:pStyle w:val="Heading1"/>
        <w:rPr>
          <w:rFonts w:ascii="Franklin Gothic Book"/>
        </w:rPr>
      </w:pPr>
      <w:r>
        <w:rPr/>
        <w:br w:type="column"/>
      </w:r>
      <w:r>
        <w:rPr>
          <w:rFonts w:ascii="Franklin Gothic Book"/>
          <w:color w:val="16365D"/>
          <w:spacing w:val="-2"/>
        </w:rPr>
        <w:t>2024-</w:t>
      </w:r>
      <w:r>
        <w:rPr>
          <w:rFonts w:ascii="Franklin Gothic Book"/>
          <w:color w:val="16365D"/>
          <w:spacing w:val="-5"/>
        </w:rPr>
        <w:t>25</w:t>
      </w:r>
    </w:p>
    <w:p>
      <w:pPr>
        <w:spacing w:after="0"/>
        <w:rPr>
          <w:rFonts w:ascii="Franklin Gothic Book"/>
        </w:rPr>
        <w:sectPr>
          <w:type w:val="continuous"/>
          <w:pgSz w:w="12240" w:h="15840"/>
          <w:pgMar w:top="300" w:bottom="0" w:left="40" w:right="300"/>
          <w:cols w:num="2" w:equalWidth="0">
            <w:col w:w="4995" w:space="5178"/>
            <w:col w:w="1727"/>
          </w:cols>
        </w:sectPr>
      </w:pPr>
    </w:p>
    <w:p>
      <w:pPr>
        <w:pStyle w:val="BodyText"/>
        <w:spacing w:before="3"/>
        <w:ind w:left="0" w:firstLine="0"/>
        <w:rPr>
          <w:rFonts w:ascii="Franklin Gothic Book"/>
          <w:sz w:val="10"/>
        </w:rPr>
      </w:pPr>
    </w:p>
    <w:p>
      <w:pPr>
        <w:spacing w:after="0"/>
        <w:rPr>
          <w:rFonts w:ascii="Franklin Gothic Book"/>
          <w:sz w:val="10"/>
        </w:rPr>
        <w:sectPr>
          <w:type w:val="continuous"/>
          <w:pgSz w:w="12240" w:h="15840"/>
          <w:pgMar w:top="300" w:bottom="0" w:left="40" w:right="300"/>
        </w:sectPr>
      </w:pPr>
    </w:p>
    <w:p>
      <w:pPr>
        <w:spacing w:before="56"/>
        <w:ind w:left="538" w:right="0" w:firstLine="50"/>
        <w:jc w:val="left"/>
        <w:rPr>
          <w:i/>
          <w:sz w:val="22"/>
        </w:rPr>
      </w:pPr>
      <w:r>
        <w:rPr>
          <w:b/>
          <w:sz w:val="22"/>
        </w:rPr>
        <w:t>Mission: </w:t>
      </w:r>
      <w:r>
        <w:rPr>
          <w:i/>
          <w:sz w:val="22"/>
        </w:rPr>
        <w:t>The mission of the College of Health &amp; Human</w:t>
      </w:r>
      <w:r>
        <w:rPr>
          <w:i/>
          <w:sz w:val="22"/>
        </w:rPr>
        <w:t> Development</w:t>
      </w:r>
      <w:r>
        <w:rPr>
          <w:i/>
          <w:spacing w:val="-5"/>
          <w:sz w:val="22"/>
        </w:rPr>
        <w:t> </w:t>
      </w:r>
      <w:r>
        <w:rPr>
          <w:i/>
          <w:sz w:val="22"/>
        </w:rPr>
        <w:t>is</w:t>
      </w:r>
      <w:r>
        <w:rPr>
          <w:i/>
          <w:spacing w:val="-7"/>
          <w:sz w:val="22"/>
        </w:rPr>
        <w:t> </w:t>
      </w:r>
      <w:r>
        <w:rPr>
          <w:i/>
          <w:sz w:val="22"/>
        </w:rPr>
        <w:t>to</w:t>
      </w:r>
      <w:r>
        <w:rPr>
          <w:i/>
          <w:spacing w:val="-6"/>
          <w:sz w:val="22"/>
        </w:rPr>
        <w:t> </w:t>
      </w:r>
      <w:r>
        <w:rPr>
          <w:i/>
          <w:sz w:val="22"/>
        </w:rPr>
        <w:t>provide</w:t>
      </w:r>
      <w:r>
        <w:rPr>
          <w:i/>
          <w:spacing w:val="-7"/>
          <w:sz w:val="22"/>
        </w:rPr>
        <w:t> </w:t>
      </w:r>
      <w:r>
        <w:rPr>
          <w:i/>
          <w:sz w:val="22"/>
        </w:rPr>
        <w:t>exemplary</w:t>
      </w:r>
      <w:r>
        <w:rPr>
          <w:i/>
          <w:spacing w:val="-8"/>
          <w:sz w:val="22"/>
        </w:rPr>
        <w:t> </w:t>
      </w:r>
      <w:r>
        <w:rPr>
          <w:i/>
          <w:sz w:val="22"/>
        </w:rPr>
        <w:t>education,</w:t>
      </w:r>
      <w:r>
        <w:rPr>
          <w:i/>
          <w:spacing w:val="-6"/>
          <w:sz w:val="22"/>
        </w:rPr>
        <w:t> </w:t>
      </w:r>
      <w:r>
        <w:rPr>
          <w:i/>
          <w:sz w:val="22"/>
        </w:rPr>
        <w:t>research, and community outreach related to human health, development, and lifelong well-being. Emphasis is placed on theory and evidence-based practice, with special attention to developing critical thinking, leadership, and professional skills needed in a global society.</w:t>
      </w:r>
    </w:p>
    <w:p>
      <w:pPr>
        <w:spacing w:line="265" w:lineRule="exact" w:before="201"/>
        <w:ind w:left="538" w:right="0" w:firstLine="0"/>
        <w:jc w:val="left"/>
        <w:rPr>
          <w:b/>
          <w:sz w:val="22"/>
        </w:rPr>
      </w:pPr>
      <w:r>
        <w:rPr>
          <w:b/>
          <w:sz w:val="22"/>
        </w:rPr>
        <w:t>HHD:</w:t>
      </w:r>
      <w:r>
        <w:rPr>
          <w:b/>
          <w:spacing w:val="46"/>
          <w:sz w:val="22"/>
        </w:rPr>
        <w:t> </w:t>
      </w:r>
      <w:r>
        <w:rPr>
          <w:b/>
          <w:sz w:val="22"/>
        </w:rPr>
        <w:t>A</w:t>
      </w:r>
      <w:r>
        <w:rPr>
          <w:b/>
          <w:spacing w:val="-4"/>
          <w:sz w:val="22"/>
        </w:rPr>
        <w:t> </w:t>
      </w:r>
      <w:r>
        <w:rPr>
          <w:b/>
          <w:sz w:val="22"/>
        </w:rPr>
        <w:t>COMMITMENT</w:t>
      </w:r>
      <w:r>
        <w:rPr>
          <w:b/>
          <w:spacing w:val="-3"/>
          <w:sz w:val="22"/>
        </w:rPr>
        <w:t> </w:t>
      </w:r>
      <w:r>
        <w:rPr>
          <w:b/>
          <w:sz w:val="22"/>
        </w:rPr>
        <w:t>TO</w:t>
      </w:r>
      <w:r>
        <w:rPr>
          <w:b/>
          <w:spacing w:val="-5"/>
          <w:sz w:val="22"/>
        </w:rPr>
        <w:t> </w:t>
      </w:r>
      <w:r>
        <w:rPr>
          <w:b/>
          <w:spacing w:val="-2"/>
          <w:sz w:val="22"/>
        </w:rPr>
        <w:t>EXCELLENCE</w:t>
      </w:r>
    </w:p>
    <w:p>
      <w:pPr>
        <w:pStyle w:val="ListParagraph"/>
        <w:numPr>
          <w:ilvl w:val="0"/>
          <w:numId w:val="1"/>
        </w:numPr>
        <w:tabs>
          <w:tab w:pos="898" w:val="left" w:leader="none"/>
        </w:tabs>
        <w:spacing w:line="240" w:lineRule="auto" w:before="0" w:after="0"/>
        <w:ind w:left="898" w:right="459" w:hanging="360"/>
        <w:jc w:val="left"/>
        <w:rPr>
          <w:sz w:val="22"/>
        </w:rPr>
      </w:pPr>
      <w:r>
        <w:rPr>
          <w:b/>
          <w:sz w:val="22"/>
        </w:rPr>
        <w:t>Student-centered</w:t>
      </w:r>
      <w:r>
        <w:rPr>
          <w:b/>
          <w:spacing w:val="-8"/>
          <w:sz w:val="22"/>
        </w:rPr>
        <w:t> </w:t>
      </w:r>
      <w:r>
        <w:rPr>
          <w:b/>
          <w:sz w:val="22"/>
        </w:rPr>
        <w:t>faculty</w:t>
      </w:r>
      <w:r>
        <w:rPr>
          <w:b/>
          <w:spacing w:val="-8"/>
          <w:sz w:val="22"/>
        </w:rPr>
        <w:t> </w:t>
      </w:r>
      <w:r>
        <w:rPr>
          <w:sz w:val="22"/>
        </w:rPr>
        <w:t>are</w:t>
      </w:r>
      <w:r>
        <w:rPr>
          <w:spacing w:val="-6"/>
          <w:sz w:val="22"/>
        </w:rPr>
        <w:t> </w:t>
      </w:r>
      <w:r>
        <w:rPr>
          <w:sz w:val="22"/>
        </w:rPr>
        <w:t>recognized</w:t>
      </w:r>
      <w:r>
        <w:rPr>
          <w:spacing w:val="-8"/>
          <w:sz w:val="22"/>
        </w:rPr>
        <w:t> </w:t>
      </w:r>
      <w:r>
        <w:rPr>
          <w:sz w:val="22"/>
        </w:rPr>
        <w:t>for</w:t>
      </w:r>
      <w:r>
        <w:rPr>
          <w:spacing w:val="-7"/>
          <w:sz w:val="22"/>
        </w:rPr>
        <w:t> </w:t>
      </w:r>
      <w:r>
        <w:rPr>
          <w:sz w:val="22"/>
        </w:rPr>
        <w:t>their outstanding teaching and cutting-edge research</w:t>
      </w:r>
    </w:p>
    <w:p>
      <w:pPr>
        <w:pStyle w:val="ListParagraph"/>
        <w:numPr>
          <w:ilvl w:val="0"/>
          <w:numId w:val="1"/>
        </w:numPr>
        <w:tabs>
          <w:tab w:pos="898" w:val="left" w:leader="none"/>
        </w:tabs>
        <w:spacing w:line="240" w:lineRule="auto" w:before="0" w:after="0"/>
        <w:ind w:left="898" w:right="0" w:hanging="360"/>
        <w:jc w:val="left"/>
        <w:rPr>
          <w:sz w:val="22"/>
        </w:rPr>
      </w:pPr>
      <w:r>
        <w:rPr>
          <w:spacing w:val="-2"/>
          <w:sz w:val="22"/>
        </w:rPr>
        <w:t>Graduates from </w:t>
      </w:r>
      <w:r>
        <w:rPr>
          <w:b/>
          <w:spacing w:val="-2"/>
          <w:sz w:val="22"/>
        </w:rPr>
        <w:t>nationally</w:t>
      </w:r>
      <w:r>
        <w:rPr>
          <w:b/>
          <w:spacing w:val="-9"/>
          <w:sz w:val="22"/>
        </w:rPr>
        <w:t> </w:t>
      </w:r>
      <w:r>
        <w:rPr>
          <w:b/>
          <w:spacing w:val="-2"/>
          <w:sz w:val="22"/>
        </w:rPr>
        <w:t>recognized programs</w:t>
      </w:r>
      <w:r>
        <w:rPr>
          <w:b/>
          <w:spacing w:val="-10"/>
          <w:sz w:val="22"/>
        </w:rPr>
        <w:t> </w:t>
      </w:r>
      <w:r>
        <w:rPr>
          <w:spacing w:val="-2"/>
          <w:sz w:val="22"/>
        </w:rPr>
        <w:t>obtain </w:t>
      </w:r>
      <w:r>
        <w:rPr>
          <w:sz w:val="22"/>
        </w:rPr>
        <w:t>high scores on certification and licensure exams</w:t>
      </w:r>
    </w:p>
    <w:p>
      <w:pPr>
        <w:pStyle w:val="ListParagraph"/>
        <w:numPr>
          <w:ilvl w:val="0"/>
          <w:numId w:val="1"/>
        </w:numPr>
        <w:tabs>
          <w:tab w:pos="897" w:val="left" w:leader="none"/>
        </w:tabs>
        <w:spacing w:line="240" w:lineRule="auto" w:before="1" w:after="0"/>
        <w:ind w:left="897" w:right="519" w:hanging="360"/>
        <w:jc w:val="left"/>
        <w:rPr>
          <w:sz w:val="22"/>
        </w:rPr>
      </w:pPr>
      <w:r>
        <w:rPr>
          <w:sz w:val="22"/>
        </w:rPr>
        <w:t>Well-equipped,</w:t>
      </w:r>
      <w:r>
        <w:rPr>
          <w:spacing w:val="-13"/>
          <w:sz w:val="22"/>
        </w:rPr>
        <w:t> </w:t>
      </w:r>
      <w:r>
        <w:rPr>
          <w:b/>
          <w:sz w:val="22"/>
        </w:rPr>
        <w:t>state-of-the-art</w:t>
      </w:r>
      <w:r>
        <w:rPr>
          <w:b/>
          <w:spacing w:val="-12"/>
          <w:sz w:val="22"/>
        </w:rPr>
        <w:t> </w:t>
      </w:r>
      <w:r>
        <w:rPr>
          <w:b/>
          <w:sz w:val="22"/>
        </w:rPr>
        <w:t>laboratories</w:t>
      </w:r>
      <w:r>
        <w:rPr>
          <w:b/>
          <w:spacing w:val="-28"/>
          <w:sz w:val="22"/>
        </w:rPr>
        <w:t> </w:t>
      </w:r>
      <w:r>
        <w:rPr>
          <w:b/>
          <w:sz w:val="22"/>
        </w:rPr>
        <w:t>and classrooms </w:t>
      </w:r>
      <w:r>
        <w:rPr>
          <w:sz w:val="22"/>
        </w:rPr>
        <w:t>support student</w:t>
      </w:r>
      <w:r>
        <w:rPr>
          <w:spacing w:val="40"/>
          <w:sz w:val="22"/>
        </w:rPr>
        <w:t> </w:t>
      </w:r>
      <w:r>
        <w:rPr>
          <w:sz w:val="22"/>
        </w:rPr>
        <w:t>learning</w:t>
      </w:r>
    </w:p>
    <w:p>
      <w:pPr>
        <w:pStyle w:val="ListParagraph"/>
        <w:numPr>
          <w:ilvl w:val="0"/>
          <w:numId w:val="1"/>
        </w:numPr>
        <w:tabs>
          <w:tab w:pos="898" w:val="left" w:leader="none"/>
        </w:tabs>
        <w:spacing w:line="240" w:lineRule="auto" w:before="59" w:after="0"/>
        <w:ind w:left="898" w:right="108" w:hanging="360"/>
        <w:jc w:val="left"/>
        <w:rPr>
          <w:sz w:val="22"/>
        </w:rPr>
      </w:pPr>
      <w:r>
        <w:rPr>
          <w:sz w:val="22"/>
        </w:rPr>
        <w:t>Highly</w:t>
      </w:r>
      <w:r>
        <w:rPr>
          <w:spacing w:val="-13"/>
          <w:sz w:val="22"/>
        </w:rPr>
        <w:t> </w:t>
      </w:r>
      <w:r>
        <w:rPr>
          <w:sz w:val="22"/>
        </w:rPr>
        <w:t>regarded</w:t>
      </w:r>
      <w:r>
        <w:rPr>
          <w:spacing w:val="-12"/>
          <w:sz w:val="22"/>
        </w:rPr>
        <w:t> </w:t>
      </w:r>
      <w:r>
        <w:rPr>
          <w:sz w:val="22"/>
        </w:rPr>
        <w:t>degree</w:t>
      </w:r>
      <w:r>
        <w:rPr>
          <w:spacing w:val="-13"/>
          <w:sz w:val="22"/>
        </w:rPr>
        <w:t> </w:t>
      </w:r>
      <w:r>
        <w:rPr>
          <w:sz w:val="22"/>
        </w:rPr>
        <w:t>programs</w:t>
      </w:r>
      <w:r>
        <w:rPr>
          <w:spacing w:val="-12"/>
          <w:sz w:val="22"/>
        </w:rPr>
        <w:t> </w:t>
      </w:r>
      <w:r>
        <w:rPr>
          <w:sz w:val="22"/>
        </w:rPr>
        <w:t>provide</w:t>
      </w:r>
      <w:r>
        <w:rPr>
          <w:spacing w:val="-13"/>
          <w:sz w:val="22"/>
        </w:rPr>
        <w:t> </w:t>
      </w:r>
      <w:r>
        <w:rPr>
          <w:b/>
          <w:sz w:val="22"/>
        </w:rPr>
        <w:t>meaningful career opportunities </w:t>
      </w:r>
      <w:r>
        <w:rPr>
          <w:sz w:val="22"/>
        </w:rPr>
        <w:t>in important areas of</w:t>
      </w:r>
      <w:r>
        <w:rPr>
          <w:spacing w:val="40"/>
          <w:sz w:val="22"/>
        </w:rPr>
        <w:t> </w:t>
      </w:r>
      <w:r>
        <w:rPr>
          <w:sz w:val="22"/>
        </w:rPr>
        <w:t>need</w:t>
      </w:r>
    </w:p>
    <w:p>
      <w:pPr>
        <w:pStyle w:val="ListParagraph"/>
        <w:numPr>
          <w:ilvl w:val="0"/>
          <w:numId w:val="1"/>
        </w:numPr>
        <w:tabs>
          <w:tab w:pos="898" w:val="left" w:leader="none"/>
        </w:tabs>
        <w:spacing w:line="240" w:lineRule="auto" w:before="56" w:after="0"/>
        <w:ind w:left="898" w:right="190" w:hanging="360"/>
        <w:jc w:val="left"/>
        <w:rPr>
          <w:sz w:val="22"/>
        </w:rPr>
      </w:pPr>
      <w:r>
        <w:rPr>
          <w:sz w:val="22"/>
        </w:rPr>
        <w:t>The </w:t>
      </w:r>
      <w:r>
        <w:rPr>
          <w:b/>
          <w:sz w:val="22"/>
        </w:rPr>
        <w:t>Student</w:t>
      </w:r>
      <w:r>
        <w:rPr>
          <w:b/>
          <w:spacing w:val="-1"/>
          <w:sz w:val="22"/>
        </w:rPr>
        <w:t> </w:t>
      </w:r>
      <w:r>
        <w:rPr>
          <w:b/>
          <w:sz w:val="22"/>
        </w:rPr>
        <w:t>Success Centers</w:t>
      </w:r>
      <w:r>
        <w:rPr>
          <w:b/>
          <w:spacing w:val="-3"/>
          <w:sz w:val="22"/>
        </w:rPr>
        <w:t> </w:t>
      </w:r>
      <w:r>
        <w:rPr>
          <w:sz w:val="22"/>
        </w:rPr>
        <w:t>offer learning facilities to</w:t>
      </w:r>
      <w:r>
        <w:rPr>
          <w:spacing w:val="-13"/>
          <w:sz w:val="22"/>
        </w:rPr>
        <w:t> </w:t>
      </w:r>
      <w:r>
        <w:rPr>
          <w:sz w:val="22"/>
        </w:rPr>
        <w:t>promote</w:t>
      </w:r>
      <w:r>
        <w:rPr>
          <w:spacing w:val="-12"/>
          <w:sz w:val="22"/>
        </w:rPr>
        <w:t> </w:t>
      </w:r>
      <w:r>
        <w:rPr>
          <w:b/>
          <w:sz w:val="22"/>
        </w:rPr>
        <w:t>student</w:t>
      </w:r>
      <w:r>
        <w:rPr>
          <w:b/>
          <w:spacing w:val="-13"/>
          <w:sz w:val="22"/>
        </w:rPr>
        <w:t> </w:t>
      </w:r>
      <w:r>
        <w:rPr>
          <w:b/>
          <w:sz w:val="22"/>
        </w:rPr>
        <w:t>engagement</w:t>
      </w:r>
      <w:r>
        <w:rPr>
          <w:b/>
          <w:spacing w:val="-12"/>
          <w:sz w:val="22"/>
        </w:rPr>
        <w:t> </w:t>
      </w:r>
      <w:r>
        <w:rPr>
          <w:sz w:val="22"/>
        </w:rPr>
        <w:t>and</w:t>
      </w:r>
      <w:r>
        <w:rPr>
          <w:spacing w:val="-13"/>
          <w:sz w:val="22"/>
        </w:rPr>
        <w:t> </w:t>
      </w:r>
      <w:r>
        <w:rPr>
          <w:sz w:val="22"/>
        </w:rPr>
        <w:t>access</w:t>
      </w:r>
      <w:r>
        <w:rPr>
          <w:spacing w:val="-12"/>
          <w:sz w:val="22"/>
        </w:rPr>
        <w:t> </w:t>
      </w:r>
      <w:r>
        <w:rPr>
          <w:sz w:val="22"/>
        </w:rPr>
        <w:t>to</w:t>
      </w:r>
      <w:r>
        <w:rPr>
          <w:spacing w:val="-13"/>
          <w:sz w:val="22"/>
        </w:rPr>
        <w:t> </w:t>
      </w:r>
      <w:r>
        <w:rPr>
          <w:sz w:val="22"/>
        </w:rPr>
        <w:t>tools, resources, and guidance to ensure a robust Titan </w:t>
      </w:r>
      <w:r>
        <w:rPr>
          <w:spacing w:val="-2"/>
          <w:sz w:val="22"/>
        </w:rPr>
        <w:t>Experience.</w:t>
      </w:r>
    </w:p>
    <w:p>
      <w:pPr>
        <w:pStyle w:val="ListParagraph"/>
        <w:numPr>
          <w:ilvl w:val="0"/>
          <w:numId w:val="1"/>
        </w:numPr>
        <w:tabs>
          <w:tab w:pos="898" w:val="left" w:leader="none"/>
        </w:tabs>
        <w:spacing w:line="240" w:lineRule="auto" w:before="53" w:after="0"/>
        <w:ind w:left="898" w:right="296" w:hanging="360"/>
        <w:jc w:val="left"/>
        <w:rPr>
          <w:sz w:val="22"/>
        </w:rPr>
      </w:pPr>
      <w:r>
        <w:rPr>
          <w:sz w:val="22"/>
        </w:rPr>
        <w:t>Programs meet rigorous </w:t>
      </w:r>
      <w:r>
        <w:rPr>
          <w:b/>
          <w:sz w:val="22"/>
        </w:rPr>
        <w:t>national accreditation standards.</w:t>
      </w:r>
      <w:r>
        <w:rPr>
          <w:b/>
          <w:spacing w:val="-7"/>
          <w:sz w:val="22"/>
        </w:rPr>
        <w:t> </w:t>
      </w:r>
      <w:r>
        <w:rPr>
          <w:sz w:val="22"/>
        </w:rPr>
        <w:t>Major</w:t>
      </w:r>
      <w:r>
        <w:rPr>
          <w:spacing w:val="-6"/>
          <w:sz w:val="22"/>
        </w:rPr>
        <w:t> </w:t>
      </w:r>
      <w:r>
        <w:rPr>
          <w:sz w:val="22"/>
        </w:rPr>
        <w:t>accrediting</w:t>
      </w:r>
      <w:r>
        <w:rPr>
          <w:spacing w:val="-7"/>
          <w:sz w:val="22"/>
        </w:rPr>
        <w:t> </w:t>
      </w:r>
      <w:r>
        <w:rPr>
          <w:sz w:val="22"/>
        </w:rPr>
        <w:t>bodies</w:t>
      </w:r>
      <w:r>
        <w:rPr>
          <w:spacing w:val="-6"/>
          <w:sz w:val="22"/>
        </w:rPr>
        <w:t> </w:t>
      </w:r>
      <w:r>
        <w:rPr>
          <w:sz w:val="22"/>
        </w:rPr>
        <w:t>for</w:t>
      </w:r>
      <w:r>
        <w:rPr>
          <w:spacing w:val="-6"/>
          <w:sz w:val="22"/>
        </w:rPr>
        <w:t> </w:t>
      </w:r>
      <w:r>
        <w:rPr>
          <w:sz w:val="22"/>
        </w:rPr>
        <w:t>the</w:t>
      </w:r>
      <w:r>
        <w:rPr>
          <w:spacing w:val="-5"/>
          <w:sz w:val="22"/>
        </w:rPr>
        <w:t> </w:t>
      </w:r>
      <w:r>
        <w:rPr>
          <w:sz w:val="22"/>
        </w:rPr>
        <w:t>College </w:t>
      </w:r>
      <w:r>
        <w:rPr>
          <w:spacing w:val="-2"/>
          <w:sz w:val="22"/>
        </w:rPr>
        <w:t>include:</w:t>
      </w:r>
    </w:p>
    <w:p>
      <w:pPr>
        <w:pStyle w:val="ListParagraph"/>
        <w:numPr>
          <w:ilvl w:val="1"/>
          <w:numId w:val="1"/>
        </w:numPr>
        <w:tabs>
          <w:tab w:pos="1330" w:val="left" w:leader="none"/>
        </w:tabs>
        <w:spacing w:line="293" w:lineRule="exact" w:before="0" w:after="0"/>
        <w:ind w:left="1330" w:right="0" w:hanging="360"/>
        <w:jc w:val="left"/>
        <w:rPr>
          <w:sz w:val="22"/>
        </w:rPr>
      </w:pPr>
      <w:r>
        <w:rPr>
          <w:sz w:val="22"/>
        </w:rPr>
        <w:t>American</w:t>
      </w:r>
      <w:r>
        <w:rPr>
          <w:spacing w:val="-8"/>
          <w:sz w:val="22"/>
        </w:rPr>
        <w:t> </w:t>
      </w:r>
      <w:r>
        <w:rPr>
          <w:sz w:val="22"/>
        </w:rPr>
        <w:t>College</w:t>
      </w:r>
      <w:r>
        <w:rPr>
          <w:spacing w:val="-6"/>
          <w:sz w:val="22"/>
        </w:rPr>
        <w:t> </w:t>
      </w:r>
      <w:r>
        <w:rPr>
          <w:sz w:val="22"/>
        </w:rPr>
        <w:t>of</w:t>
      </w:r>
      <w:r>
        <w:rPr>
          <w:spacing w:val="-4"/>
          <w:sz w:val="22"/>
        </w:rPr>
        <w:t> </w:t>
      </w:r>
      <w:r>
        <w:rPr>
          <w:sz w:val="22"/>
        </w:rPr>
        <w:t>Nurse-</w:t>
      </w:r>
      <w:r>
        <w:rPr>
          <w:spacing w:val="-2"/>
          <w:sz w:val="22"/>
        </w:rPr>
        <w:t>Midwives</w:t>
      </w:r>
    </w:p>
    <w:p>
      <w:pPr>
        <w:pStyle w:val="ListParagraph"/>
        <w:numPr>
          <w:ilvl w:val="1"/>
          <w:numId w:val="1"/>
        </w:numPr>
        <w:tabs>
          <w:tab w:pos="1330" w:val="left" w:leader="none"/>
        </w:tabs>
        <w:spacing w:line="295" w:lineRule="exact" w:before="0" w:after="0"/>
        <w:ind w:left="1330" w:right="0" w:hanging="360"/>
        <w:jc w:val="left"/>
        <w:rPr>
          <w:sz w:val="22"/>
        </w:rPr>
      </w:pPr>
      <w:r>
        <w:rPr>
          <w:sz w:val="22"/>
        </w:rPr>
        <w:t>California</w:t>
      </w:r>
      <w:r>
        <w:rPr>
          <w:spacing w:val="-9"/>
          <w:sz w:val="22"/>
        </w:rPr>
        <w:t> </w:t>
      </w:r>
      <w:r>
        <w:rPr>
          <w:sz w:val="22"/>
        </w:rPr>
        <w:t>Association</w:t>
      </w:r>
      <w:r>
        <w:rPr>
          <w:spacing w:val="-7"/>
          <w:sz w:val="22"/>
        </w:rPr>
        <w:t> </w:t>
      </w:r>
      <w:r>
        <w:rPr>
          <w:sz w:val="22"/>
        </w:rPr>
        <w:t>for</w:t>
      </w:r>
      <w:r>
        <w:rPr>
          <w:spacing w:val="-8"/>
          <w:sz w:val="22"/>
        </w:rPr>
        <w:t> </w:t>
      </w:r>
      <w:r>
        <w:rPr>
          <w:sz w:val="22"/>
        </w:rPr>
        <w:t>Drug/Alcohol</w:t>
      </w:r>
      <w:r>
        <w:rPr>
          <w:spacing w:val="-12"/>
          <w:sz w:val="22"/>
        </w:rPr>
        <w:t> </w:t>
      </w:r>
      <w:r>
        <w:rPr>
          <w:spacing w:val="-2"/>
          <w:sz w:val="22"/>
        </w:rPr>
        <w:t>Educators</w:t>
      </w:r>
    </w:p>
    <w:p>
      <w:pPr>
        <w:pStyle w:val="ListParagraph"/>
        <w:numPr>
          <w:ilvl w:val="1"/>
          <w:numId w:val="1"/>
        </w:numPr>
        <w:tabs>
          <w:tab w:pos="1330" w:val="left" w:leader="none"/>
        </w:tabs>
        <w:spacing w:line="296" w:lineRule="exact" w:before="0" w:after="0"/>
        <w:ind w:left="1330" w:right="0" w:hanging="360"/>
        <w:jc w:val="left"/>
        <w:rPr>
          <w:sz w:val="22"/>
        </w:rPr>
      </w:pPr>
      <w:r>
        <w:rPr>
          <w:sz w:val="22"/>
        </w:rPr>
        <w:t>California</w:t>
      </w:r>
      <w:r>
        <w:rPr>
          <w:spacing w:val="-5"/>
          <w:sz w:val="22"/>
        </w:rPr>
        <w:t> </w:t>
      </w:r>
      <w:r>
        <w:rPr>
          <w:sz w:val="22"/>
        </w:rPr>
        <w:t>Board</w:t>
      </w:r>
      <w:r>
        <w:rPr>
          <w:spacing w:val="-8"/>
          <w:sz w:val="22"/>
        </w:rPr>
        <w:t> </w:t>
      </w:r>
      <w:r>
        <w:rPr>
          <w:sz w:val="22"/>
        </w:rPr>
        <w:t>of</w:t>
      </w:r>
      <w:r>
        <w:rPr>
          <w:spacing w:val="-4"/>
          <w:sz w:val="22"/>
        </w:rPr>
        <w:t> </w:t>
      </w:r>
      <w:r>
        <w:rPr>
          <w:sz w:val="22"/>
        </w:rPr>
        <w:t>Registered</w:t>
      </w:r>
      <w:r>
        <w:rPr>
          <w:spacing w:val="-8"/>
          <w:sz w:val="22"/>
        </w:rPr>
        <w:t> </w:t>
      </w:r>
      <w:r>
        <w:rPr>
          <w:spacing w:val="-2"/>
          <w:sz w:val="22"/>
        </w:rPr>
        <w:t>Nursing</w:t>
      </w:r>
    </w:p>
    <w:p>
      <w:pPr>
        <w:pStyle w:val="ListParagraph"/>
        <w:numPr>
          <w:ilvl w:val="1"/>
          <w:numId w:val="1"/>
        </w:numPr>
        <w:tabs>
          <w:tab w:pos="1330" w:val="left" w:leader="none"/>
        </w:tabs>
        <w:spacing w:line="298" w:lineRule="exact" w:before="0" w:after="0"/>
        <w:ind w:left="1330" w:right="0" w:hanging="360"/>
        <w:jc w:val="left"/>
        <w:rPr>
          <w:sz w:val="22"/>
        </w:rPr>
      </w:pPr>
      <w:r>
        <w:rPr>
          <w:sz w:val="22"/>
        </w:rPr>
        <w:t>California</w:t>
      </w:r>
      <w:r>
        <w:rPr>
          <w:spacing w:val="-8"/>
          <w:sz w:val="22"/>
        </w:rPr>
        <w:t> </w:t>
      </w:r>
      <w:r>
        <w:rPr>
          <w:sz w:val="22"/>
        </w:rPr>
        <w:t>Commission</w:t>
      </w:r>
      <w:r>
        <w:rPr>
          <w:spacing w:val="-8"/>
          <w:sz w:val="22"/>
        </w:rPr>
        <w:t> </w:t>
      </w:r>
      <w:r>
        <w:rPr>
          <w:sz w:val="22"/>
        </w:rPr>
        <w:t>on</w:t>
      </w:r>
      <w:r>
        <w:rPr>
          <w:spacing w:val="-5"/>
          <w:sz w:val="22"/>
        </w:rPr>
        <w:t> </w:t>
      </w:r>
      <w:r>
        <w:rPr>
          <w:sz w:val="22"/>
        </w:rPr>
        <w:t>Teacher</w:t>
      </w:r>
      <w:r>
        <w:rPr>
          <w:spacing w:val="-12"/>
          <w:sz w:val="22"/>
        </w:rPr>
        <w:t> </w:t>
      </w:r>
      <w:r>
        <w:rPr>
          <w:spacing w:val="-2"/>
          <w:sz w:val="22"/>
        </w:rPr>
        <w:t>Credentialing</w:t>
      </w:r>
    </w:p>
    <w:p>
      <w:pPr>
        <w:pStyle w:val="ListParagraph"/>
        <w:numPr>
          <w:ilvl w:val="1"/>
          <w:numId w:val="1"/>
        </w:numPr>
        <w:tabs>
          <w:tab w:pos="1330" w:val="left" w:leader="none"/>
        </w:tabs>
        <w:spacing w:line="240" w:lineRule="auto" w:before="0" w:after="0"/>
        <w:ind w:left="1330" w:right="99" w:hanging="360"/>
        <w:jc w:val="left"/>
        <w:rPr>
          <w:sz w:val="22"/>
        </w:rPr>
      </w:pPr>
      <w:r>
        <w:rPr>
          <w:sz w:val="22"/>
        </w:rPr>
        <w:t>Commission</w:t>
      </w:r>
      <w:r>
        <w:rPr>
          <w:spacing w:val="-13"/>
          <w:sz w:val="22"/>
        </w:rPr>
        <w:t> </w:t>
      </w:r>
      <w:r>
        <w:rPr>
          <w:sz w:val="22"/>
        </w:rPr>
        <w:t>on</w:t>
      </w:r>
      <w:r>
        <w:rPr>
          <w:spacing w:val="-7"/>
          <w:sz w:val="22"/>
        </w:rPr>
        <w:t> </w:t>
      </w:r>
      <w:r>
        <w:rPr>
          <w:sz w:val="22"/>
        </w:rPr>
        <w:t>Accreditation</w:t>
      </w:r>
      <w:r>
        <w:rPr>
          <w:spacing w:val="-7"/>
          <w:sz w:val="22"/>
        </w:rPr>
        <w:t> </w:t>
      </w:r>
      <w:r>
        <w:rPr>
          <w:sz w:val="22"/>
        </w:rPr>
        <w:t>of</w:t>
      </w:r>
      <w:r>
        <w:rPr>
          <w:spacing w:val="-8"/>
          <w:sz w:val="22"/>
        </w:rPr>
        <w:t> </w:t>
      </w:r>
      <w:r>
        <w:rPr>
          <w:sz w:val="22"/>
        </w:rPr>
        <w:t>Athletic</w:t>
      </w:r>
      <w:r>
        <w:rPr>
          <w:spacing w:val="-14"/>
          <w:sz w:val="22"/>
        </w:rPr>
        <w:t> </w:t>
      </w:r>
      <w:r>
        <w:rPr>
          <w:sz w:val="22"/>
        </w:rPr>
        <w:t>Training </w:t>
      </w:r>
      <w:r>
        <w:rPr>
          <w:spacing w:val="-2"/>
          <w:sz w:val="22"/>
        </w:rPr>
        <w:t>Education</w:t>
      </w:r>
    </w:p>
    <w:p>
      <w:pPr>
        <w:pStyle w:val="ListParagraph"/>
        <w:numPr>
          <w:ilvl w:val="1"/>
          <w:numId w:val="1"/>
        </w:numPr>
        <w:tabs>
          <w:tab w:pos="1330" w:val="left" w:leader="none"/>
        </w:tabs>
        <w:spacing w:line="295" w:lineRule="exact" w:before="0" w:after="0"/>
        <w:ind w:left="1330" w:right="0" w:hanging="360"/>
        <w:jc w:val="left"/>
        <w:rPr>
          <w:sz w:val="22"/>
        </w:rPr>
      </w:pPr>
      <w:r>
        <w:rPr>
          <w:sz w:val="22"/>
        </w:rPr>
        <w:t>Commission</w:t>
      </w:r>
      <w:r>
        <w:rPr>
          <w:spacing w:val="-12"/>
          <w:sz w:val="22"/>
        </w:rPr>
        <w:t> </w:t>
      </w:r>
      <w:r>
        <w:rPr>
          <w:sz w:val="22"/>
        </w:rPr>
        <w:t>on</w:t>
      </w:r>
      <w:r>
        <w:rPr>
          <w:spacing w:val="-6"/>
          <w:sz w:val="22"/>
        </w:rPr>
        <w:t> </w:t>
      </w:r>
      <w:r>
        <w:rPr>
          <w:sz w:val="22"/>
        </w:rPr>
        <w:t>Collegiate</w:t>
      </w:r>
      <w:r>
        <w:rPr>
          <w:spacing w:val="-6"/>
          <w:sz w:val="22"/>
        </w:rPr>
        <w:t> </w:t>
      </w:r>
      <w:r>
        <w:rPr>
          <w:sz w:val="22"/>
        </w:rPr>
        <w:t>Nursing</w:t>
      </w:r>
      <w:r>
        <w:rPr>
          <w:spacing w:val="-13"/>
          <w:sz w:val="22"/>
        </w:rPr>
        <w:t> </w:t>
      </w:r>
      <w:r>
        <w:rPr>
          <w:spacing w:val="-2"/>
          <w:sz w:val="22"/>
        </w:rPr>
        <w:t>Education</w:t>
      </w:r>
    </w:p>
    <w:p>
      <w:pPr>
        <w:pStyle w:val="ListParagraph"/>
        <w:numPr>
          <w:ilvl w:val="1"/>
          <w:numId w:val="1"/>
        </w:numPr>
        <w:tabs>
          <w:tab w:pos="1330" w:val="left" w:leader="none"/>
        </w:tabs>
        <w:spacing w:line="298" w:lineRule="exact" w:before="0" w:after="0"/>
        <w:ind w:left="1330" w:right="0" w:hanging="360"/>
        <w:jc w:val="left"/>
        <w:rPr>
          <w:sz w:val="22"/>
        </w:rPr>
      </w:pPr>
      <w:r>
        <w:rPr>
          <w:sz w:val="22"/>
        </w:rPr>
        <w:t>Council</w:t>
      </w:r>
      <w:r>
        <w:rPr>
          <w:spacing w:val="-4"/>
          <w:sz w:val="22"/>
        </w:rPr>
        <w:t> </w:t>
      </w:r>
      <w:r>
        <w:rPr>
          <w:sz w:val="22"/>
        </w:rPr>
        <w:t>in</w:t>
      </w:r>
      <w:r>
        <w:rPr>
          <w:spacing w:val="-5"/>
          <w:sz w:val="22"/>
        </w:rPr>
        <w:t> </w:t>
      </w:r>
      <w:r>
        <w:rPr>
          <w:sz w:val="22"/>
        </w:rPr>
        <w:t>Education</w:t>
      </w:r>
      <w:r>
        <w:rPr>
          <w:spacing w:val="-4"/>
          <w:sz w:val="22"/>
        </w:rPr>
        <w:t> </w:t>
      </w:r>
      <w:r>
        <w:rPr>
          <w:sz w:val="22"/>
        </w:rPr>
        <w:t>for</w:t>
      </w:r>
      <w:r>
        <w:rPr>
          <w:spacing w:val="-5"/>
          <w:sz w:val="22"/>
        </w:rPr>
        <w:t> </w:t>
      </w:r>
      <w:r>
        <w:rPr>
          <w:sz w:val="22"/>
        </w:rPr>
        <w:t>Public</w:t>
      </w:r>
      <w:r>
        <w:rPr>
          <w:spacing w:val="-10"/>
          <w:sz w:val="22"/>
        </w:rPr>
        <w:t> </w:t>
      </w:r>
      <w:r>
        <w:rPr>
          <w:spacing w:val="-2"/>
          <w:sz w:val="22"/>
        </w:rPr>
        <w:t>Health</w:t>
      </w:r>
    </w:p>
    <w:p>
      <w:pPr>
        <w:pStyle w:val="ListParagraph"/>
        <w:numPr>
          <w:ilvl w:val="1"/>
          <w:numId w:val="1"/>
        </w:numPr>
        <w:tabs>
          <w:tab w:pos="1330" w:val="left" w:leader="none"/>
        </w:tabs>
        <w:spacing w:line="240" w:lineRule="auto" w:before="0" w:after="0"/>
        <w:ind w:left="1330" w:right="514" w:hanging="360"/>
        <w:jc w:val="left"/>
        <w:rPr>
          <w:sz w:val="22"/>
        </w:rPr>
      </w:pPr>
      <w:r>
        <w:rPr>
          <w:sz w:val="22"/>
        </w:rPr>
        <w:t>Council</w:t>
      </w:r>
      <w:r>
        <w:rPr>
          <w:spacing w:val="-7"/>
          <w:sz w:val="22"/>
        </w:rPr>
        <w:t> </w:t>
      </w:r>
      <w:r>
        <w:rPr>
          <w:sz w:val="22"/>
        </w:rPr>
        <w:t>for</w:t>
      </w:r>
      <w:r>
        <w:rPr>
          <w:spacing w:val="-7"/>
          <w:sz w:val="22"/>
        </w:rPr>
        <w:t> </w:t>
      </w:r>
      <w:r>
        <w:rPr>
          <w:sz w:val="22"/>
        </w:rPr>
        <w:t>Accreditation</w:t>
      </w:r>
      <w:r>
        <w:rPr>
          <w:spacing w:val="-8"/>
          <w:sz w:val="22"/>
        </w:rPr>
        <w:t> </w:t>
      </w:r>
      <w:r>
        <w:rPr>
          <w:sz w:val="22"/>
        </w:rPr>
        <w:t>for</w:t>
      </w:r>
      <w:r>
        <w:rPr>
          <w:spacing w:val="-7"/>
          <w:sz w:val="22"/>
        </w:rPr>
        <w:t> </w:t>
      </w:r>
      <w:r>
        <w:rPr>
          <w:sz w:val="22"/>
        </w:rPr>
        <w:t>Counseling</w:t>
      </w:r>
      <w:r>
        <w:rPr>
          <w:spacing w:val="-8"/>
          <w:sz w:val="22"/>
        </w:rPr>
        <w:t> </w:t>
      </w:r>
      <w:r>
        <w:rPr>
          <w:sz w:val="22"/>
        </w:rPr>
        <w:t>and Related Educational Programs</w:t>
      </w:r>
    </w:p>
    <w:p>
      <w:pPr>
        <w:pStyle w:val="ListParagraph"/>
        <w:numPr>
          <w:ilvl w:val="1"/>
          <w:numId w:val="1"/>
        </w:numPr>
        <w:tabs>
          <w:tab w:pos="1330" w:val="left" w:leader="none"/>
        </w:tabs>
        <w:spacing w:line="240" w:lineRule="auto" w:before="0" w:after="0"/>
        <w:ind w:left="1330" w:right="427" w:hanging="360"/>
        <w:jc w:val="left"/>
        <w:rPr>
          <w:sz w:val="22"/>
        </w:rPr>
      </w:pPr>
      <w:r>
        <w:rPr>
          <w:sz w:val="22"/>
        </w:rPr>
        <w:t>Council</w:t>
      </w:r>
      <w:r>
        <w:rPr>
          <w:spacing w:val="-9"/>
          <w:sz w:val="22"/>
        </w:rPr>
        <w:t> </w:t>
      </w:r>
      <w:r>
        <w:rPr>
          <w:sz w:val="22"/>
        </w:rPr>
        <w:t>on</w:t>
      </w:r>
      <w:r>
        <w:rPr>
          <w:spacing w:val="-7"/>
          <w:sz w:val="22"/>
        </w:rPr>
        <w:t> </w:t>
      </w:r>
      <w:r>
        <w:rPr>
          <w:sz w:val="22"/>
        </w:rPr>
        <w:t>Accreditation</w:t>
      </w:r>
      <w:r>
        <w:rPr>
          <w:spacing w:val="-7"/>
          <w:sz w:val="22"/>
        </w:rPr>
        <w:t> </w:t>
      </w:r>
      <w:r>
        <w:rPr>
          <w:sz w:val="22"/>
        </w:rPr>
        <w:t>of</w:t>
      </w:r>
      <w:r>
        <w:rPr>
          <w:spacing w:val="-8"/>
          <w:sz w:val="22"/>
        </w:rPr>
        <w:t> </w:t>
      </w:r>
      <w:r>
        <w:rPr>
          <w:sz w:val="22"/>
        </w:rPr>
        <w:t>Nurse</w:t>
      </w:r>
      <w:r>
        <w:rPr>
          <w:spacing w:val="-6"/>
          <w:sz w:val="22"/>
        </w:rPr>
        <w:t> </w:t>
      </w:r>
      <w:r>
        <w:rPr>
          <w:sz w:val="22"/>
        </w:rPr>
        <w:t>Anesthesia </w:t>
      </w:r>
      <w:r>
        <w:rPr>
          <w:spacing w:val="-2"/>
          <w:sz w:val="22"/>
        </w:rPr>
        <w:t>Programs</w:t>
      </w:r>
    </w:p>
    <w:p>
      <w:pPr>
        <w:pStyle w:val="ListParagraph"/>
        <w:numPr>
          <w:ilvl w:val="1"/>
          <w:numId w:val="1"/>
        </w:numPr>
        <w:tabs>
          <w:tab w:pos="1330" w:val="left" w:leader="none"/>
        </w:tabs>
        <w:spacing w:line="296" w:lineRule="exact" w:before="0" w:after="0"/>
        <w:ind w:left="1330" w:right="0" w:hanging="360"/>
        <w:jc w:val="left"/>
        <w:rPr>
          <w:sz w:val="22"/>
        </w:rPr>
      </w:pPr>
      <w:r>
        <w:rPr>
          <w:sz w:val="22"/>
        </w:rPr>
        <w:t>Council</w:t>
      </w:r>
      <w:r>
        <w:rPr>
          <w:spacing w:val="-5"/>
          <w:sz w:val="22"/>
        </w:rPr>
        <w:t> </w:t>
      </w:r>
      <w:r>
        <w:rPr>
          <w:sz w:val="22"/>
        </w:rPr>
        <w:t>on</w:t>
      </w:r>
      <w:r>
        <w:rPr>
          <w:spacing w:val="-3"/>
          <w:sz w:val="22"/>
        </w:rPr>
        <w:t> </w:t>
      </w:r>
      <w:r>
        <w:rPr>
          <w:sz w:val="22"/>
        </w:rPr>
        <w:t>Social</w:t>
      </w:r>
      <w:r>
        <w:rPr>
          <w:spacing w:val="-5"/>
          <w:sz w:val="22"/>
        </w:rPr>
        <w:t> </w:t>
      </w:r>
      <w:r>
        <w:rPr>
          <w:sz w:val="22"/>
        </w:rPr>
        <w:t>Work</w:t>
      </w:r>
      <w:r>
        <w:rPr>
          <w:spacing w:val="-7"/>
          <w:sz w:val="22"/>
        </w:rPr>
        <w:t> </w:t>
      </w:r>
      <w:r>
        <w:rPr>
          <w:spacing w:val="-2"/>
          <w:sz w:val="22"/>
        </w:rPr>
        <w:t>Education</w:t>
      </w:r>
    </w:p>
    <w:p>
      <w:pPr>
        <w:pStyle w:val="ListParagraph"/>
        <w:numPr>
          <w:ilvl w:val="1"/>
          <w:numId w:val="1"/>
        </w:numPr>
        <w:tabs>
          <w:tab w:pos="1330" w:val="left" w:leader="none"/>
        </w:tabs>
        <w:spacing w:line="240" w:lineRule="auto" w:before="0" w:after="0"/>
        <w:ind w:left="1330" w:right="856" w:hanging="360"/>
        <w:jc w:val="left"/>
        <w:rPr>
          <w:sz w:val="22"/>
        </w:rPr>
      </w:pPr>
      <w:r>
        <w:rPr>
          <w:sz w:val="22"/>
        </w:rPr>
        <w:t>Council</w:t>
      </w:r>
      <w:r>
        <w:rPr>
          <w:spacing w:val="-7"/>
          <w:sz w:val="22"/>
        </w:rPr>
        <w:t> </w:t>
      </w:r>
      <w:r>
        <w:rPr>
          <w:sz w:val="22"/>
        </w:rPr>
        <w:t>for</w:t>
      </w:r>
      <w:r>
        <w:rPr>
          <w:spacing w:val="-7"/>
          <w:sz w:val="22"/>
        </w:rPr>
        <w:t> </w:t>
      </w:r>
      <w:r>
        <w:rPr>
          <w:sz w:val="22"/>
        </w:rPr>
        <w:t>Standards</w:t>
      </w:r>
      <w:r>
        <w:rPr>
          <w:spacing w:val="-7"/>
          <w:sz w:val="22"/>
        </w:rPr>
        <w:t> </w:t>
      </w:r>
      <w:r>
        <w:rPr>
          <w:sz w:val="22"/>
        </w:rPr>
        <w:t>in</w:t>
      </w:r>
      <w:r>
        <w:rPr>
          <w:spacing w:val="-8"/>
          <w:sz w:val="22"/>
        </w:rPr>
        <w:t> </w:t>
      </w:r>
      <w:r>
        <w:rPr>
          <w:sz w:val="22"/>
        </w:rPr>
        <w:t>Human</w:t>
      </w:r>
      <w:r>
        <w:rPr>
          <w:spacing w:val="-8"/>
          <w:sz w:val="22"/>
        </w:rPr>
        <w:t> </w:t>
      </w:r>
      <w:r>
        <w:rPr>
          <w:sz w:val="22"/>
        </w:rPr>
        <w:t>Services </w:t>
      </w:r>
      <w:r>
        <w:rPr>
          <w:spacing w:val="-2"/>
          <w:sz w:val="22"/>
        </w:rPr>
        <w:t>Education</w:t>
      </w:r>
    </w:p>
    <w:p>
      <w:pPr>
        <w:pStyle w:val="BodyText"/>
        <w:spacing w:before="56"/>
        <w:ind w:left="427" w:right="334" w:firstLine="0"/>
      </w:pPr>
      <w:r>
        <w:rPr/>
        <w:br w:type="column"/>
      </w:r>
      <w:r>
        <w:rPr>
          <w:b/>
        </w:rPr>
        <w:t>Statistics: </w:t>
      </w:r>
      <w:r>
        <w:rPr/>
        <w:t>The College of Health &amp; Human Development (HHD)</w:t>
      </w:r>
      <w:r>
        <w:rPr>
          <w:spacing w:val="-4"/>
        </w:rPr>
        <w:t> </w:t>
      </w:r>
      <w:r>
        <w:rPr/>
        <w:t>is</w:t>
      </w:r>
      <w:r>
        <w:rPr>
          <w:spacing w:val="-5"/>
        </w:rPr>
        <w:t> </w:t>
      </w:r>
      <w:r>
        <w:rPr/>
        <w:t>one</w:t>
      </w:r>
      <w:r>
        <w:rPr>
          <w:spacing w:val="-5"/>
        </w:rPr>
        <w:t> </w:t>
      </w:r>
      <w:r>
        <w:rPr/>
        <w:t>of</w:t>
      </w:r>
      <w:r>
        <w:rPr>
          <w:spacing w:val="-5"/>
        </w:rPr>
        <w:t> </w:t>
      </w:r>
      <w:r>
        <w:rPr/>
        <w:t>eight</w:t>
      </w:r>
      <w:r>
        <w:rPr>
          <w:spacing w:val="-3"/>
        </w:rPr>
        <w:t> </w:t>
      </w:r>
      <w:r>
        <w:rPr/>
        <w:t>Colleges</w:t>
      </w:r>
      <w:r>
        <w:rPr>
          <w:spacing w:val="-4"/>
        </w:rPr>
        <w:t> </w:t>
      </w:r>
      <w:r>
        <w:rPr/>
        <w:t>at</w:t>
      </w:r>
      <w:r>
        <w:rPr>
          <w:spacing w:val="-5"/>
        </w:rPr>
        <w:t> </w:t>
      </w:r>
      <w:r>
        <w:rPr/>
        <w:t>California</w:t>
      </w:r>
      <w:r>
        <w:rPr>
          <w:spacing w:val="-4"/>
        </w:rPr>
        <w:t> </w:t>
      </w:r>
      <w:r>
        <w:rPr/>
        <w:t>State</w:t>
      </w:r>
      <w:r>
        <w:rPr>
          <w:spacing w:val="-5"/>
        </w:rPr>
        <w:t> </w:t>
      </w:r>
      <w:r>
        <w:rPr/>
        <w:t>University, Fullerton. Statistics shown are for 2023-2024:</w:t>
      </w:r>
    </w:p>
    <w:p>
      <w:pPr>
        <w:pStyle w:val="ListParagraph"/>
        <w:numPr>
          <w:ilvl w:val="0"/>
          <w:numId w:val="2"/>
        </w:numPr>
        <w:tabs>
          <w:tab w:pos="787" w:val="left" w:leader="none"/>
        </w:tabs>
        <w:spacing w:line="240" w:lineRule="auto" w:before="0" w:after="0"/>
        <w:ind w:left="787" w:right="487" w:hanging="360"/>
        <w:jc w:val="left"/>
        <w:rPr>
          <w:sz w:val="22"/>
        </w:rPr>
      </w:pPr>
      <w:r>
        <w:rPr>
          <w:sz w:val="22"/>
        </w:rPr>
        <w:t>Almost</w:t>
      </w:r>
      <w:r>
        <w:rPr>
          <w:spacing w:val="-7"/>
          <w:sz w:val="22"/>
        </w:rPr>
        <w:t> </w:t>
      </w:r>
      <w:r>
        <w:rPr>
          <w:sz w:val="22"/>
        </w:rPr>
        <w:t>7,000</w:t>
      </w:r>
      <w:r>
        <w:rPr>
          <w:spacing w:val="-6"/>
          <w:sz w:val="22"/>
        </w:rPr>
        <w:t> </w:t>
      </w:r>
      <w:r>
        <w:rPr>
          <w:sz w:val="22"/>
        </w:rPr>
        <w:t>students</w:t>
      </w:r>
      <w:r>
        <w:rPr>
          <w:spacing w:val="-7"/>
          <w:sz w:val="22"/>
        </w:rPr>
        <w:t> </w:t>
      </w:r>
      <w:r>
        <w:rPr>
          <w:sz w:val="22"/>
        </w:rPr>
        <w:t>enrolled</w:t>
      </w:r>
      <w:r>
        <w:rPr>
          <w:spacing w:val="-6"/>
          <w:sz w:val="22"/>
        </w:rPr>
        <w:t> </w:t>
      </w:r>
      <w:r>
        <w:rPr>
          <w:sz w:val="22"/>
        </w:rPr>
        <w:t>in</w:t>
      </w:r>
      <w:r>
        <w:rPr>
          <w:spacing w:val="-6"/>
          <w:sz w:val="22"/>
        </w:rPr>
        <w:t> </w:t>
      </w:r>
      <w:r>
        <w:rPr>
          <w:sz w:val="22"/>
        </w:rPr>
        <w:t>undergraduate</w:t>
      </w:r>
      <w:r>
        <w:rPr>
          <w:spacing w:val="-7"/>
          <w:sz w:val="22"/>
        </w:rPr>
        <w:t> </w:t>
      </w:r>
      <w:r>
        <w:rPr>
          <w:sz w:val="22"/>
        </w:rPr>
        <w:t>and graduate programs</w:t>
      </w:r>
    </w:p>
    <w:p>
      <w:pPr>
        <w:pStyle w:val="ListParagraph"/>
        <w:numPr>
          <w:ilvl w:val="0"/>
          <w:numId w:val="2"/>
        </w:numPr>
        <w:tabs>
          <w:tab w:pos="787" w:val="left" w:leader="none"/>
          <w:tab w:pos="3561" w:val="left" w:leader="hyphen"/>
        </w:tabs>
        <w:spacing w:line="240" w:lineRule="auto" w:before="0" w:after="0"/>
        <w:ind w:left="787" w:right="506" w:hanging="360"/>
        <w:jc w:val="left"/>
        <w:rPr>
          <w:sz w:val="22"/>
        </w:rPr>
      </w:pPr>
      <w:r>
        <w:rPr>
          <w:sz w:val="22"/>
        </w:rPr>
        <w:t>Number of New and Continuing/Returning Students as of Fall 2024: New: 1,961</w:t>
        <w:tab/>
      </w:r>
      <w:r>
        <w:rPr>
          <w:spacing w:val="-2"/>
          <w:sz w:val="22"/>
        </w:rPr>
        <w:t>Continuing/Returning:</w:t>
      </w:r>
    </w:p>
    <w:p>
      <w:pPr>
        <w:pStyle w:val="BodyText"/>
        <w:ind w:left="787" w:firstLine="0"/>
      </w:pPr>
      <w:r>
        <w:rPr>
          <w:spacing w:val="-2"/>
        </w:rPr>
        <w:t>4,769</w:t>
      </w:r>
    </w:p>
    <w:p>
      <w:pPr>
        <w:pStyle w:val="ListParagraph"/>
        <w:numPr>
          <w:ilvl w:val="0"/>
          <w:numId w:val="2"/>
        </w:numPr>
        <w:tabs>
          <w:tab w:pos="785" w:val="left" w:leader="none"/>
          <w:tab w:pos="787" w:val="left" w:leader="none"/>
        </w:tabs>
        <w:spacing w:line="240" w:lineRule="auto" w:before="0" w:after="0"/>
        <w:ind w:left="787" w:right="600" w:hanging="361"/>
        <w:jc w:val="left"/>
        <w:rPr>
          <w:sz w:val="22"/>
        </w:rPr>
      </w:pPr>
      <w:r>
        <w:rPr>
          <w:sz w:val="22"/>
        </w:rPr>
        <w:t>The</w:t>
      </w:r>
      <w:r>
        <w:rPr>
          <w:spacing w:val="-3"/>
          <w:sz w:val="22"/>
        </w:rPr>
        <w:t> </w:t>
      </w:r>
      <w:r>
        <w:rPr>
          <w:sz w:val="22"/>
        </w:rPr>
        <w:t>racial</w:t>
      </w:r>
      <w:r>
        <w:rPr>
          <w:spacing w:val="-4"/>
          <w:sz w:val="22"/>
        </w:rPr>
        <w:t> </w:t>
      </w:r>
      <w:r>
        <w:rPr>
          <w:sz w:val="22"/>
        </w:rPr>
        <w:t>distribution</w:t>
      </w:r>
      <w:r>
        <w:rPr>
          <w:spacing w:val="-7"/>
          <w:sz w:val="22"/>
        </w:rPr>
        <w:t> </w:t>
      </w:r>
      <w:r>
        <w:rPr>
          <w:sz w:val="22"/>
        </w:rPr>
        <w:t>of</w:t>
      </w:r>
      <w:r>
        <w:rPr>
          <w:spacing w:val="-6"/>
          <w:sz w:val="22"/>
        </w:rPr>
        <w:t> </w:t>
      </w:r>
      <w:r>
        <w:rPr>
          <w:sz w:val="22"/>
        </w:rPr>
        <w:t>our</w:t>
      </w:r>
      <w:r>
        <w:rPr>
          <w:spacing w:val="-4"/>
          <w:sz w:val="22"/>
        </w:rPr>
        <w:t> </w:t>
      </w:r>
      <w:r>
        <w:rPr>
          <w:sz w:val="22"/>
        </w:rPr>
        <w:t>student</w:t>
      </w:r>
      <w:r>
        <w:rPr>
          <w:spacing w:val="-3"/>
          <w:sz w:val="22"/>
        </w:rPr>
        <w:t> </w:t>
      </w:r>
      <w:r>
        <w:rPr>
          <w:sz w:val="22"/>
        </w:rPr>
        <w:t>body</w:t>
      </w:r>
      <w:r>
        <w:rPr>
          <w:spacing w:val="-3"/>
          <w:sz w:val="22"/>
        </w:rPr>
        <w:t> </w:t>
      </w:r>
      <w:r>
        <w:rPr>
          <w:sz w:val="22"/>
        </w:rPr>
        <w:t>is</w:t>
      </w:r>
      <w:r>
        <w:rPr>
          <w:spacing w:val="-6"/>
          <w:sz w:val="22"/>
        </w:rPr>
        <w:t> </w:t>
      </w:r>
      <w:r>
        <w:rPr>
          <w:sz w:val="22"/>
        </w:rPr>
        <w:t>56.07% Hispanic, 20.50% Asian/Pacific Islander, 13.50%</w:t>
      </w:r>
    </w:p>
    <w:p>
      <w:pPr>
        <w:pStyle w:val="BodyText"/>
        <w:ind w:left="787" w:right="525" w:firstLine="0"/>
      </w:pPr>
      <w:r>
        <w:rPr/>
        <w:t>White, 3% Multi-race, 0% International, 2% Unknown,</w:t>
      </w:r>
      <w:r>
        <w:rPr>
          <w:spacing w:val="-10"/>
        </w:rPr>
        <w:t> </w:t>
      </w:r>
      <w:r>
        <w:rPr/>
        <w:t>3%</w:t>
      </w:r>
      <w:r>
        <w:rPr>
          <w:spacing w:val="-5"/>
        </w:rPr>
        <w:t> </w:t>
      </w:r>
      <w:r>
        <w:rPr/>
        <w:t>Black,</w:t>
      </w:r>
      <w:r>
        <w:rPr>
          <w:spacing w:val="-6"/>
        </w:rPr>
        <w:t> </w:t>
      </w:r>
      <w:r>
        <w:rPr/>
        <w:t>and</w:t>
      </w:r>
      <w:r>
        <w:rPr>
          <w:spacing w:val="-9"/>
        </w:rPr>
        <w:t> </w:t>
      </w:r>
      <w:r>
        <w:rPr/>
        <w:t>0%</w:t>
      </w:r>
      <w:r>
        <w:rPr>
          <w:spacing w:val="-5"/>
        </w:rPr>
        <w:t> </w:t>
      </w:r>
      <w:r>
        <w:rPr/>
        <w:t>American</w:t>
      </w:r>
      <w:r>
        <w:rPr>
          <w:spacing w:val="-13"/>
        </w:rPr>
        <w:t> </w:t>
      </w:r>
      <w:r>
        <w:rPr/>
        <w:t>Indian</w:t>
      </w:r>
    </w:p>
    <w:p>
      <w:pPr>
        <w:pStyle w:val="ListParagraph"/>
        <w:numPr>
          <w:ilvl w:val="0"/>
          <w:numId w:val="2"/>
        </w:numPr>
        <w:tabs>
          <w:tab w:pos="786" w:val="left" w:leader="none"/>
        </w:tabs>
        <w:spacing w:line="295" w:lineRule="exact" w:before="0" w:after="0"/>
        <w:ind w:left="786" w:right="0" w:hanging="359"/>
        <w:jc w:val="left"/>
        <w:rPr>
          <w:sz w:val="22"/>
        </w:rPr>
      </w:pPr>
      <w:r>
        <w:rPr>
          <w:sz w:val="22"/>
        </w:rPr>
        <w:t>The</w:t>
      </w:r>
      <w:r>
        <w:rPr>
          <w:spacing w:val="-3"/>
          <w:sz w:val="22"/>
        </w:rPr>
        <w:t> </w:t>
      </w:r>
      <w:r>
        <w:rPr>
          <w:sz w:val="22"/>
        </w:rPr>
        <w:t>College</w:t>
      </w:r>
      <w:r>
        <w:rPr>
          <w:spacing w:val="-2"/>
          <w:sz w:val="22"/>
        </w:rPr>
        <w:t> </w:t>
      </w:r>
      <w:r>
        <w:rPr>
          <w:sz w:val="22"/>
        </w:rPr>
        <w:t>includes</w:t>
      </w:r>
      <w:r>
        <w:rPr>
          <w:spacing w:val="-5"/>
          <w:sz w:val="22"/>
        </w:rPr>
        <w:t> </w:t>
      </w:r>
      <w:r>
        <w:rPr>
          <w:sz w:val="22"/>
        </w:rPr>
        <w:t>more</w:t>
      </w:r>
      <w:r>
        <w:rPr>
          <w:spacing w:val="-5"/>
          <w:sz w:val="22"/>
        </w:rPr>
        <w:t> </w:t>
      </w:r>
      <w:r>
        <w:rPr>
          <w:sz w:val="22"/>
        </w:rPr>
        <w:t>than</w:t>
      </w:r>
      <w:r>
        <w:rPr>
          <w:spacing w:val="-4"/>
          <w:sz w:val="22"/>
        </w:rPr>
        <w:t> </w:t>
      </w:r>
      <w:r>
        <w:rPr>
          <w:sz w:val="22"/>
        </w:rPr>
        <w:t>365</w:t>
      </w:r>
      <w:r>
        <w:rPr>
          <w:spacing w:val="-8"/>
          <w:sz w:val="22"/>
        </w:rPr>
        <w:t> </w:t>
      </w:r>
      <w:r>
        <w:rPr>
          <w:spacing w:val="-2"/>
          <w:sz w:val="22"/>
        </w:rPr>
        <w:t>faculty</w:t>
      </w:r>
    </w:p>
    <w:p>
      <w:pPr>
        <w:pStyle w:val="ListParagraph"/>
        <w:numPr>
          <w:ilvl w:val="0"/>
          <w:numId w:val="2"/>
        </w:numPr>
        <w:tabs>
          <w:tab w:pos="787" w:val="left" w:leader="none"/>
        </w:tabs>
        <w:spacing w:line="240" w:lineRule="auto" w:before="0" w:after="0"/>
        <w:ind w:left="787" w:right="937" w:hanging="360"/>
        <w:jc w:val="left"/>
        <w:rPr>
          <w:sz w:val="22"/>
        </w:rPr>
      </w:pPr>
      <w:r>
        <w:rPr>
          <w:sz w:val="22"/>
        </w:rPr>
        <w:t>1,907</w:t>
      </w:r>
      <w:r>
        <w:rPr>
          <w:spacing w:val="-9"/>
          <w:sz w:val="22"/>
        </w:rPr>
        <w:t> </w:t>
      </w:r>
      <w:r>
        <w:rPr>
          <w:sz w:val="22"/>
        </w:rPr>
        <w:t>undergraduate</w:t>
      </w:r>
      <w:r>
        <w:rPr>
          <w:spacing w:val="-7"/>
          <w:sz w:val="22"/>
        </w:rPr>
        <w:t> </w:t>
      </w:r>
      <w:r>
        <w:rPr>
          <w:sz w:val="22"/>
        </w:rPr>
        <w:t>students</w:t>
      </w:r>
      <w:r>
        <w:rPr>
          <w:spacing w:val="-8"/>
          <w:sz w:val="22"/>
        </w:rPr>
        <w:t> </w:t>
      </w:r>
      <w:r>
        <w:rPr>
          <w:sz w:val="22"/>
        </w:rPr>
        <w:t>and</w:t>
      </w:r>
      <w:r>
        <w:rPr>
          <w:spacing w:val="-9"/>
          <w:sz w:val="22"/>
        </w:rPr>
        <w:t> </w:t>
      </w:r>
      <w:r>
        <w:rPr>
          <w:sz w:val="22"/>
        </w:rPr>
        <w:t>241</w:t>
      </w:r>
      <w:r>
        <w:rPr>
          <w:spacing w:val="-7"/>
          <w:sz w:val="22"/>
        </w:rPr>
        <w:t> </w:t>
      </w:r>
      <w:r>
        <w:rPr>
          <w:sz w:val="22"/>
        </w:rPr>
        <w:t>graduate students graduated in 2022-2023</w:t>
      </w:r>
    </w:p>
    <w:p>
      <w:pPr>
        <w:spacing w:before="123"/>
        <w:ind w:left="427" w:right="0" w:firstLine="0"/>
        <w:jc w:val="left"/>
        <w:rPr>
          <w:sz w:val="22"/>
        </w:rPr>
      </w:pPr>
      <w:r>
        <w:rPr>
          <w:b/>
          <w:sz w:val="22"/>
        </w:rPr>
        <w:t>Organizational Structure: </w:t>
      </w:r>
      <w:r>
        <w:rPr>
          <w:sz w:val="22"/>
        </w:rPr>
        <w:t>The College of Health &amp; Human Development</w:t>
      </w:r>
      <w:r>
        <w:rPr>
          <w:spacing w:val="-3"/>
          <w:sz w:val="22"/>
        </w:rPr>
        <w:t> </w:t>
      </w:r>
      <w:r>
        <w:rPr>
          <w:sz w:val="22"/>
        </w:rPr>
        <w:t>is</w:t>
      </w:r>
      <w:r>
        <w:rPr>
          <w:spacing w:val="-6"/>
          <w:sz w:val="22"/>
        </w:rPr>
        <w:t> </w:t>
      </w:r>
      <w:r>
        <w:rPr>
          <w:sz w:val="22"/>
        </w:rPr>
        <w:t>comprised</w:t>
      </w:r>
      <w:r>
        <w:rPr>
          <w:spacing w:val="-9"/>
          <w:sz w:val="22"/>
        </w:rPr>
        <w:t> </w:t>
      </w:r>
      <w:r>
        <w:rPr>
          <w:sz w:val="22"/>
        </w:rPr>
        <w:t>of</w:t>
      </w:r>
      <w:r>
        <w:rPr>
          <w:spacing w:val="-4"/>
          <w:sz w:val="22"/>
        </w:rPr>
        <w:t> </w:t>
      </w:r>
      <w:r>
        <w:rPr>
          <w:sz w:val="22"/>
        </w:rPr>
        <w:t>the</w:t>
      </w:r>
      <w:r>
        <w:rPr>
          <w:spacing w:val="-6"/>
          <w:sz w:val="22"/>
        </w:rPr>
        <w:t> </w:t>
      </w:r>
      <w:r>
        <w:rPr>
          <w:sz w:val="22"/>
        </w:rPr>
        <w:t>following</w:t>
      </w:r>
      <w:r>
        <w:rPr>
          <w:spacing w:val="-7"/>
          <w:sz w:val="22"/>
        </w:rPr>
        <w:t> </w:t>
      </w:r>
      <w:r>
        <w:rPr>
          <w:sz w:val="22"/>
        </w:rPr>
        <w:t>eight</w:t>
      </w:r>
      <w:r>
        <w:rPr>
          <w:spacing w:val="-3"/>
          <w:sz w:val="22"/>
        </w:rPr>
        <w:t> </w:t>
      </w:r>
      <w:r>
        <w:rPr>
          <w:sz w:val="22"/>
        </w:rPr>
        <w:t>divisions:</w:t>
      </w:r>
    </w:p>
    <w:p>
      <w:pPr>
        <w:pStyle w:val="ListParagraph"/>
        <w:numPr>
          <w:ilvl w:val="1"/>
          <w:numId w:val="2"/>
        </w:numPr>
        <w:tabs>
          <w:tab w:pos="1219" w:val="left" w:leader="none"/>
        </w:tabs>
        <w:spacing w:line="240" w:lineRule="auto" w:before="0" w:after="0"/>
        <w:ind w:left="1219" w:right="592" w:hanging="504"/>
        <w:jc w:val="left"/>
        <w:rPr>
          <w:b/>
          <w:sz w:val="22"/>
        </w:rPr>
      </w:pPr>
      <w:r>
        <w:rPr>
          <w:b/>
          <w:sz w:val="22"/>
        </w:rPr>
        <w:t>The</w:t>
      </w:r>
      <w:r>
        <w:rPr>
          <w:b/>
          <w:spacing w:val="-5"/>
          <w:sz w:val="22"/>
        </w:rPr>
        <w:t> </w:t>
      </w:r>
      <w:r>
        <w:rPr>
          <w:b/>
          <w:sz w:val="22"/>
        </w:rPr>
        <w:t>Department</w:t>
      </w:r>
      <w:r>
        <w:rPr>
          <w:b/>
          <w:spacing w:val="-4"/>
          <w:sz w:val="22"/>
        </w:rPr>
        <w:t> </w:t>
      </w:r>
      <w:r>
        <w:rPr>
          <w:b/>
          <w:sz w:val="22"/>
        </w:rPr>
        <w:t>of</w:t>
      </w:r>
      <w:r>
        <w:rPr>
          <w:b/>
          <w:spacing w:val="-6"/>
          <w:sz w:val="22"/>
        </w:rPr>
        <w:t> </w:t>
      </w:r>
      <w:r>
        <w:rPr>
          <w:b/>
          <w:sz w:val="22"/>
        </w:rPr>
        <w:t>Child</w:t>
      </w:r>
      <w:r>
        <w:rPr>
          <w:b/>
          <w:spacing w:val="-5"/>
          <w:sz w:val="22"/>
        </w:rPr>
        <w:t> </w:t>
      </w:r>
      <w:r>
        <w:rPr>
          <w:b/>
          <w:sz w:val="22"/>
        </w:rPr>
        <w:t>&amp;</w:t>
      </w:r>
      <w:r>
        <w:rPr>
          <w:b/>
          <w:spacing w:val="-6"/>
          <w:sz w:val="22"/>
        </w:rPr>
        <w:t> </w:t>
      </w:r>
      <w:r>
        <w:rPr>
          <w:b/>
          <w:sz w:val="22"/>
        </w:rPr>
        <w:t>Adolescent</w:t>
      </w:r>
      <w:r>
        <w:rPr>
          <w:b/>
          <w:spacing w:val="-4"/>
          <w:sz w:val="22"/>
        </w:rPr>
        <w:t> </w:t>
      </w:r>
      <w:r>
        <w:rPr>
          <w:b/>
          <w:sz w:val="22"/>
        </w:rPr>
        <w:t>Studies </w:t>
      </w:r>
      <w:r>
        <w:rPr>
          <w:sz w:val="22"/>
        </w:rPr>
        <w:t>provides undergraduate students with the knowledge</w:t>
      </w:r>
      <w:r>
        <w:rPr>
          <w:spacing w:val="-5"/>
          <w:sz w:val="22"/>
        </w:rPr>
        <w:t> </w:t>
      </w:r>
      <w:r>
        <w:rPr>
          <w:sz w:val="22"/>
        </w:rPr>
        <w:t>and</w:t>
      </w:r>
      <w:r>
        <w:rPr>
          <w:spacing w:val="-7"/>
          <w:sz w:val="22"/>
        </w:rPr>
        <w:t> </w:t>
      </w:r>
      <w:r>
        <w:rPr>
          <w:sz w:val="22"/>
        </w:rPr>
        <w:t>skills</w:t>
      </w:r>
      <w:r>
        <w:rPr>
          <w:spacing w:val="-6"/>
          <w:sz w:val="22"/>
        </w:rPr>
        <w:t> </w:t>
      </w:r>
      <w:r>
        <w:rPr>
          <w:sz w:val="22"/>
        </w:rPr>
        <w:t>to</w:t>
      </w:r>
      <w:r>
        <w:rPr>
          <w:spacing w:val="-5"/>
          <w:sz w:val="22"/>
        </w:rPr>
        <w:t> </w:t>
      </w:r>
      <w:r>
        <w:rPr>
          <w:sz w:val="22"/>
        </w:rPr>
        <w:t>interact</w:t>
      </w:r>
      <w:r>
        <w:rPr>
          <w:spacing w:val="-8"/>
          <w:sz w:val="22"/>
        </w:rPr>
        <w:t> </w:t>
      </w:r>
      <w:r>
        <w:rPr>
          <w:sz w:val="22"/>
        </w:rPr>
        <w:t>effectively</w:t>
      </w:r>
      <w:r>
        <w:rPr>
          <w:spacing w:val="-7"/>
          <w:sz w:val="22"/>
        </w:rPr>
        <w:t> </w:t>
      </w:r>
      <w:r>
        <w:rPr>
          <w:sz w:val="22"/>
        </w:rPr>
        <w:t>with children, adolescents, and families in various educational and service settings. </w:t>
      </w:r>
      <w:r>
        <w:rPr>
          <w:b/>
          <w:sz w:val="22"/>
        </w:rPr>
        <w:t>(B.S., Minor)</w:t>
      </w:r>
    </w:p>
    <w:p>
      <w:pPr>
        <w:pStyle w:val="ListParagraph"/>
        <w:numPr>
          <w:ilvl w:val="1"/>
          <w:numId w:val="2"/>
        </w:numPr>
        <w:tabs>
          <w:tab w:pos="1219" w:val="left" w:leader="none"/>
        </w:tabs>
        <w:spacing w:line="240" w:lineRule="auto" w:before="1" w:after="0"/>
        <w:ind w:left="1219" w:right="572" w:hanging="504"/>
        <w:jc w:val="left"/>
        <w:rPr>
          <w:sz w:val="22"/>
        </w:rPr>
      </w:pPr>
      <w:r>
        <w:rPr>
          <w:b/>
          <w:sz w:val="22"/>
        </w:rPr>
        <w:t>The</w:t>
      </w:r>
      <w:r>
        <w:rPr>
          <w:b/>
          <w:spacing w:val="-3"/>
          <w:sz w:val="22"/>
        </w:rPr>
        <w:t> </w:t>
      </w:r>
      <w:r>
        <w:rPr>
          <w:b/>
          <w:sz w:val="22"/>
        </w:rPr>
        <w:t>Department</w:t>
      </w:r>
      <w:r>
        <w:rPr>
          <w:b/>
          <w:spacing w:val="-2"/>
          <w:sz w:val="22"/>
        </w:rPr>
        <w:t> </w:t>
      </w:r>
      <w:r>
        <w:rPr>
          <w:b/>
          <w:sz w:val="22"/>
        </w:rPr>
        <w:t>of</w:t>
      </w:r>
      <w:r>
        <w:rPr>
          <w:b/>
          <w:spacing w:val="-4"/>
          <w:sz w:val="22"/>
        </w:rPr>
        <w:t> </w:t>
      </w:r>
      <w:r>
        <w:rPr>
          <w:b/>
          <w:sz w:val="22"/>
        </w:rPr>
        <w:t>Counseling</w:t>
      </w:r>
      <w:r>
        <w:rPr>
          <w:b/>
          <w:spacing w:val="-1"/>
          <w:sz w:val="22"/>
        </w:rPr>
        <w:t> </w:t>
      </w:r>
      <w:r>
        <w:rPr>
          <w:sz w:val="22"/>
        </w:rPr>
        <w:t>is</w:t>
      </w:r>
      <w:r>
        <w:rPr>
          <w:spacing w:val="-2"/>
          <w:sz w:val="22"/>
        </w:rPr>
        <w:t> </w:t>
      </w:r>
      <w:r>
        <w:rPr>
          <w:sz w:val="22"/>
        </w:rPr>
        <w:t>committed</w:t>
      </w:r>
      <w:r>
        <w:rPr>
          <w:spacing w:val="-5"/>
          <w:sz w:val="22"/>
        </w:rPr>
        <w:t> </w:t>
      </w:r>
      <w:r>
        <w:rPr>
          <w:sz w:val="22"/>
        </w:rPr>
        <w:t>to training</w:t>
      </w:r>
      <w:r>
        <w:rPr>
          <w:spacing w:val="-10"/>
          <w:sz w:val="22"/>
        </w:rPr>
        <w:t> </w:t>
      </w:r>
      <w:r>
        <w:rPr>
          <w:sz w:val="22"/>
        </w:rPr>
        <w:t>culturally</w:t>
      </w:r>
      <w:r>
        <w:rPr>
          <w:spacing w:val="-9"/>
          <w:sz w:val="22"/>
        </w:rPr>
        <w:t> </w:t>
      </w:r>
      <w:r>
        <w:rPr>
          <w:sz w:val="22"/>
        </w:rPr>
        <w:t>competent</w:t>
      </w:r>
      <w:r>
        <w:rPr>
          <w:spacing w:val="-9"/>
          <w:sz w:val="22"/>
        </w:rPr>
        <w:t> </w:t>
      </w:r>
      <w:r>
        <w:rPr>
          <w:sz w:val="22"/>
        </w:rPr>
        <w:t>professionals</w:t>
      </w:r>
      <w:r>
        <w:rPr>
          <w:spacing w:val="-12"/>
          <w:sz w:val="22"/>
        </w:rPr>
        <w:t> </w:t>
      </w:r>
      <w:r>
        <w:rPr>
          <w:sz w:val="22"/>
        </w:rPr>
        <w:t>who are eligible to seek licensure as Marriage and Family Therapists or Professional Clinical Counselors </w:t>
      </w:r>
      <w:r>
        <w:rPr>
          <w:b/>
          <w:sz w:val="22"/>
        </w:rPr>
        <w:t>(M.S., LMFT, and LPCC licensure</w:t>
      </w:r>
      <w:r>
        <w:rPr>
          <w:sz w:val="22"/>
        </w:rPr>
        <w:t>)</w:t>
      </w:r>
    </w:p>
    <w:p>
      <w:pPr>
        <w:pStyle w:val="ListParagraph"/>
        <w:numPr>
          <w:ilvl w:val="1"/>
          <w:numId w:val="2"/>
        </w:numPr>
        <w:tabs>
          <w:tab w:pos="1219" w:val="left" w:leader="none"/>
        </w:tabs>
        <w:spacing w:line="240" w:lineRule="auto" w:before="0" w:after="0"/>
        <w:ind w:left="1219" w:right="732" w:hanging="504"/>
        <w:jc w:val="left"/>
        <w:rPr>
          <w:b/>
          <w:sz w:val="22"/>
        </w:rPr>
      </w:pPr>
      <w:r>
        <w:rPr>
          <w:b/>
          <w:sz w:val="22"/>
        </w:rPr>
        <w:t>The Department of Human Services </w:t>
      </w:r>
      <w:r>
        <w:rPr>
          <w:sz w:val="22"/>
        </w:rPr>
        <w:t>provides the</w:t>
      </w:r>
      <w:r>
        <w:rPr>
          <w:spacing w:val="-6"/>
          <w:sz w:val="22"/>
        </w:rPr>
        <w:t> </w:t>
      </w:r>
      <w:r>
        <w:rPr>
          <w:sz w:val="22"/>
        </w:rPr>
        <w:t>academic</w:t>
      </w:r>
      <w:r>
        <w:rPr>
          <w:spacing w:val="-9"/>
          <w:sz w:val="22"/>
        </w:rPr>
        <w:t> </w:t>
      </w:r>
      <w:r>
        <w:rPr>
          <w:sz w:val="22"/>
        </w:rPr>
        <w:t>and</w:t>
      </w:r>
      <w:r>
        <w:rPr>
          <w:spacing w:val="-8"/>
          <w:sz w:val="22"/>
        </w:rPr>
        <w:t> </w:t>
      </w:r>
      <w:r>
        <w:rPr>
          <w:sz w:val="22"/>
        </w:rPr>
        <w:t>experiential</w:t>
      </w:r>
      <w:r>
        <w:rPr>
          <w:spacing w:val="-7"/>
          <w:sz w:val="22"/>
        </w:rPr>
        <w:t> </w:t>
      </w:r>
      <w:r>
        <w:rPr>
          <w:sz w:val="22"/>
        </w:rPr>
        <w:t>background</w:t>
      </w:r>
      <w:r>
        <w:rPr>
          <w:spacing w:val="-8"/>
          <w:sz w:val="22"/>
        </w:rPr>
        <w:t> </w:t>
      </w:r>
      <w:r>
        <w:rPr>
          <w:sz w:val="22"/>
        </w:rPr>
        <w:t>for the student seeking a career working with people in the varied and expanding Human Services field. </w:t>
      </w:r>
      <w:r>
        <w:rPr>
          <w:b/>
          <w:sz w:val="22"/>
        </w:rPr>
        <w:t>(B.S., Minor)</w:t>
      </w:r>
    </w:p>
    <w:p>
      <w:pPr>
        <w:pStyle w:val="ListParagraph"/>
        <w:numPr>
          <w:ilvl w:val="1"/>
          <w:numId w:val="2"/>
        </w:numPr>
        <w:tabs>
          <w:tab w:pos="1219" w:val="left" w:leader="none"/>
        </w:tabs>
        <w:spacing w:line="240" w:lineRule="auto" w:before="0" w:after="0"/>
        <w:ind w:left="1219" w:right="370" w:hanging="504"/>
        <w:jc w:val="left"/>
        <w:rPr>
          <w:b/>
          <w:sz w:val="22"/>
        </w:rPr>
      </w:pPr>
      <w:r>
        <w:rPr>
          <w:b/>
          <w:sz w:val="22"/>
        </w:rPr>
        <w:t>The Department of Kinesiology </w:t>
      </w:r>
      <w:r>
        <w:rPr>
          <w:sz w:val="22"/>
        </w:rPr>
        <w:t>provides</w:t>
      </w:r>
      <w:r>
        <w:rPr>
          <w:spacing w:val="80"/>
          <w:sz w:val="22"/>
        </w:rPr>
        <w:t> </w:t>
      </w:r>
      <w:r>
        <w:rPr>
          <w:sz w:val="22"/>
        </w:rPr>
        <w:t>students with a multifaceted understanding of human movement and physical activity and its impact</w:t>
      </w:r>
      <w:r>
        <w:rPr>
          <w:spacing w:val="-7"/>
          <w:sz w:val="22"/>
        </w:rPr>
        <w:t> </w:t>
      </w:r>
      <w:r>
        <w:rPr>
          <w:sz w:val="22"/>
        </w:rPr>
        <w:t>on</w:t>
      </w:r>
      <w:r>
        <w:rPr>
          <w:spacing w:val="-6"/>
          <w:sz w:val="22"/>
        </w:rPr>
        <w:t> </w:t>
      </w:r>
      <w:r>
        <w:rPr>
          <w:sz w:val="22"/>
        </w:rPr>
        <w:t>performance,</w:t>
      </w:r>
      <w:r>
        <w:rPr>
          <w:spacing w:val="-6"/>
          <w:sz w:val="22"/>
        </w:rPr>
        <w:t> </w:t>
      </w:r>
      <w:r>
        <w:rPr>
          <w:sz w:val="22"/>
        </w:rPr>
        <w:t>fitness,</w:t>
      </w:r>
      <w:r>
        <w:rPr>
          <w:spacing w:val="-6"/>
          <w:sz w:val="22"/>
        </w:rPr>
        <w:t> </w:t>
      </w:r>
      <w:r>
        <w:rPr>
          <w:sz w:val="22"/>
        </w:rPr>
        <w:t>and</w:t>
      </w:r>
      <w:r>
        <w:rPr>
          <w:spacing w:val="-6"/>
          <w:sz w:val="22"/>
        </w:rPr>
        <w:t> </w:t>
      </w:r>
      <w:r>
        <w:rPr>
          <w:sz w:val="22"/>
        </w:rPr>
        <w:t>health</w:t>
      </w:r>
      <w:r>
        <w:rPr>
          <w:spacing w:val="-7"/>
          <w:sz w:val="22"/>
        </w:rPr>
        <w:t> </w:t>
      </w:r>
      <w:r>
        <w:rPr>
          <w:sz w:val="22"/>
        </w:rPr>
        <w:t>across the lifespan. </w:t>
      </w:r>
      <w:r>
        <w:rPr>
          <w:b/>
          <w:sz w:val="22"/>
        </w:rPr>
        <w:t>(B.S., M.S., M.S. AT, Minor)</w:t>
      </w:r>
    </w:p>
    <w:p>
      <w:pPr>
        <w:pStyle w:val="ListParagraph"/>
        <w:numPr>
          <w:ilvl w:val="1"/>
          <w:numId w:val="2"/>
        </w:numPr>
        <w:tabs>
          <w:tab w:pos="1219" w:val="left" w:leader="none"/>
        </w:tabs>
        <w:spacing w:line="240" w:lineRule="auto" w:before="0" w:after="0"/>
        <w:ind w:left="1219" w:right="415" w:hanging="504"/>
        <w:jc w:val="left"/>
        <w:rPr>
          <w:b/>
          <w:sz w:val="22"/>
        </w:rPr>
      </w:pPr>
      <w:r>
        <w:rPr>
          <w:b/>
          <w:sz w:val="22"/>
        </w:rPr>
        <w:t>The</w:t>
      </w:r>
      <w:r>
        <w:rPr>
          <w:b/>
          <w:spacing w:val="-6"/>
          <w:sz w:val="22"/>
        </w:rPr>
        <w:t> </w:t>
      </w:r>
      <w:r>
        <w:rPr>
          <w:b/>
          <w:sz w:val="22"/>
        </w:rPr>
        <w:t>Department</w:t>
      </w:r>
      <w:r>
        <w:rPr>
          <w:b/>
          <w:spacing w:val="-5"/>
          <w:sz w:val="22"/>
        </w:rPr>
        <w:t> </w:t>
      </w:r>
      <w:r>
        <w:rPr>
          <w:b/>
          <w:sz w:val="22"/>
        </w:rPr>
        <w:t>of</w:t>
      </w:r>
      <w:r>
        <w:rPr>
          <w:b/>
          <w:spacing w:val="-7"/>
          <w:sz w:val="22"/>
        </w:rPr>
        <w:t> </w:t>
      </w:r>
      <w:r>
        <w:rPr>
          <w:b/>
          <w:sz w:val="22"/>
        </w:rPr>
        <w:t>Public</w:t>
      </w:r>
      <w:r>
        <w:rPr>
          <w:b/>
          <w:spacing w:val="-6"/>
          <w:sz w:val="22"/>
        </w:rPr>
        <w:t> </w:t>
      </w:r>
      <w:r>
        <w:rPr>
          <w:b/>
          <w:sz w:val="22"/>
        </w:rPr>
        <w:t>Health</w:t>
      </w:r>
      <w:r>
        <w:rPr>
          <w:b/>
          <w:spacing w:val="-6"/>
          <w:sz w:val="22"/>
        </w:rPr>
        <w:t> </w:t>
      </w:r>
      <w:r>
        <w:rPr>
          <w:sz w:val="22"/>
        </w:rPr>
        <w:t>bridges</w:t>
      </w:r>
      <w:r>
        <w:rPr>
          <w:spacing w:val="-5"/>
          <w:sz w:val="22"/>
        </w:rPr>
        <w:t> </w:t>
      </w:r>
      <w:r>
        <w:rPr>
          <w:sz w:val="22"/>
        </w:rPr>
        <w:t>the</w:t>
      </w:r>
      <w:r>
        <w:rPr>
          <w:spacing w:val="-6"/>
          <w:sz w:val="22"/>
        </w:rPr>
        <w:t> </w:t>
      </w:r>
      <w:r>
        <w:rPr>
          <w:sz w:val="22"/>
        </w:rPr>
        <w:t>gap between scientific discoveries and applying this knowledge to improve the quality of people’s lives. The department’s research reflects the range of diverse health problems, settings, and populations. </w:t>
      </w:r>
      <w:r>
        <w:rPr>
          <w:b/>
          <w:sz w:val="22"/>
        </w:rPr>
        <w:t>(B.S., MPH, Minor)</w:t>
      </w:r>
    </w:p>
    <w:p>
      <w:pPr>
        <w:spacing w:after="0" w:line="240" w:lineRule="auto"/>
        <w:jc w:val="left"/>
        <w:rPr>
          <w:sz w:val="22"/>
        </w:rPr>
        <w:sectPr>
          <w:type w:val="continuous"/>
          <w:pgSz w:w="12240" w:h="15840"/>
          <w:pgMar w:top="300" w:bottom="0" w:left="40" w:right="300"/>
          <w:cols w:num="2" w:equalWidth="0">
            <w:col w:w="5793" w:space="40"/>
            <w:col w:w="6067"/>
          </w:cols>
        </w:sectPr>
      </w:pPr>
    </w:p>
    <w:p>
      <w:pPr>
        <w:pStyle w:val="Heading1"/>
        <w:spacing w:before="475"/>
        <w:ind w:left="441"/>
        <w:jc w:val="center"/>
      </w:pPr>
      <w:r>
        <w:rPr/>
        <mc:AlternateContent>
          <mc:Choice Requires="wps">
            <w:drawing>
              <wp:anchor distT="0" distB="0" distL="0" distR="0" allowOverlap="1" layoutInCell="1" locked="0" behindDoc="0" simplePos="0" relativeHeight="15728640">
                <wp:simplePos x="0" y="0"/>
                <wp:positionH relativeFrom="page">
                  <wp:posOffset>0</wp:posOffset>
                </wp:positionH>
                <wp:positionV relativeFrom="page">
                  <wp:posOffset>185420</wp:posOffset>
                </wp:positionV>
                <wp:extent cx="7762240" cy="162560"/>
                <wp:effectExtent l="0" t="0" r="0" b="0"/>
                <wp:wrapNone/>
                <wp:docPr id="2" name="Group 2"/>
                <wp:cNvGraphicFramePr>
                  <a:graphicFrameLocks/>
                </wp:cNvGraphicFramePr>
                <a:graphic>
                  <a:graphicData uri="http://schemas.microsoft.com/office/word/2010/wordprocessingGroup">
                    <wpg:wgp>
                      <wpg:cNvPr id="2" name="Group 2"/>
                      <wpg:cNvGrpSpPr/>
                      <wpg:grpSpPr>
                        <a:xfrm>
                          <a:off x="0" y="0"/>
                          <a:ext cx="7762240" cy="162560"/>
                          <a:chExt cx="7762240" cy="162560"/>
                        </a:xfrm>
                      </wpg:grpSpPr>
                      <wps:wsp>
                        <wps:cNvPr id="3" name="Graphic 3"/>
                        <wps:cNvSpPr/>
                        <wps:spPr>
                          <a:xfrm>
                            <a:off x="0" y="70485"/>
                            <a:ext cx="7762240" cy="92075"/>
                          </a:xfrm>
                          <a:custGeom>
                            <a:avLst/>
                            <a:gdLst/>
                            <a:ahLst/>
                            <a:cxnLst/>
                            <a:rect l="l" t="t" r="r" b="b"/>
                            <a:pathLst>
                              <a:path w="7762240" h="92075">
                                <a:moveTo>
                                  <a:pt x="0" y="92075"/>
                                </a:moveTo>
                                <a:lnTo>
                                  <a:pt x="7762240" y="92075"/>
                                </a:lnTo>
                                <a:lnTo>
                                  <a:pt x="7762240" y="0"/>
                                </a:lnTo>
                                <a:lnTo>
                                  <a:pt x="0" y="0"/>
                                </a:lnTo>
                                <a:lnTo>
                                  <a:pt x="0" y="92075"/>
                                </a:lnTo>
                                <a:close/>
                              </a:path>
                            </a:pathLst>
                          </a:custGeom>
                          <a:solidFill>
                            <a:srgbClr val="0D6FB8"/>
                          </a:solidFill>
                        </wps:spPr>
                        <wps:bodyPr wrap="square" lIns="0" tIns="0" rIns="0" bIns="0" rtlCol="0">
                          <a:prstTxWarp prst="textNoShape">
                            <a:avLst/>
                          </a:prstTxWarp>
                          <a:noAutofit/>
                        </wps:bodyPr>
                      </wps:wsp>
                      <wps:wsp>
                        <wps:cNvPr id="4" name="Graphic 4"/>
                        <wps:cNvSpPr/>
                        <wps:spPr>
                          <a:xfrm>
                            <a:off x="0" y="0"/>
                            <a:ext cx="7761605" cy="70485"/>
                          </a:xfrm>
                          <a:custGeom>
                            <a:avLst/>
                            <a:gdLst/>
                            <a:ahLst/>
                            <a:cxnLst/>
                            <a:rect l="l" t="t" r="r" b="b"/>
                            <a:pathLst>
                              <a:path w="7761605" h="70485">
                                <a:moveTo>
                                  <a:pt x="7761605" y="0"/>
                                </a:moveTo>
                                <a:lnTo>
                                  <a:pt x="0" y="0"/>
                                </a:lnTo>
                                <a:lnTo>
                                  <a:pt x="0" y="70484"/>
                                </a:lnTo>
                                <a:lnTo>
                                  <a:pt x="7761605" y="70484"/>
                                </a:lnTo>
                                <a:lnTo>
                                  <a:pt x="7761605" y="0"/>
                                </a:lnTo>
                                <a:close/>
                              </a:path>
                            </a:pathLst>
                          </a:custGeom>
                          <a:solidFill>
                            <a:srgbClr val="F5821F"/>
                          </a:solidFill>
                        </wps:spPr>
                        <wps:bodyPr wrap="square" lIns="0" tIns="0" rIns="0" bIns="0" rtlCol="0">
                          <a:prstTxWarp prst="textNoShape">
                            <a:avLst/>
                          </a:prstTxWarp>
                          <a:noAutofit/>
                        </wps:bodyPr>
                      </wps:wsp>
                    </wpg:wgp>
                  </a:graphicData>
                </a:graphic>
              </wp:anchor>
            </w:drawing>
          </mc:Choice>
          <mc:Fallback>
            <w:pict>
              <v:group style="position:absolute;margin-left:0pt;margin-top:14.6pt;width:611.2pt;height:12.8pt;mso-position-horizontal-relative:page;mso-position-vertical-relative:page;z-index:15728640" id="docshapegroup1" coordorigin="0,292" coordsize="12224,256">
                <v:rect style="position:absolute;left:0;top:403;width:12224;height:145" id="docshape2" filled="true" fillcolor="#0d6fb8" stroked="false">
                  <v:fill type="solid"/>
                </v:rect>
                <v:rect style="position:absolute;left:0;top:292;width:12223;height:111" id="docshape3" filled="true" fillcolor="#f5821f" stroked="false">
                  <v:fill type="solid"/>
                </v:rect>
                <w10:wrap type="none"/>
              </v:group>
            </w:pict>
          </mc:Fallback>
        </mc:AlternateContent>
      </w:r>
      <w:r>
        <w:rPr/>
        <mc:AlternateContent>
          <mc:Choice Requires="wps">
            <w:drawing>
              <wp:anchor distT="0" distB="0" distL="0" distR="0" allowOverlap="1" layoutInCell="1" locked="0" behindDoc="0" simplePos="0" relativeHeight="15729152">
                <wp:simplePos x="0" y="0"/>
                <wp:positionH relativeFrom="page">
                  <wp:posOffset>0</wp:posOffset>
                </wp:positionH>
                <wp:positionV relativeFrom="page">
                  <wp:posOffset>9317113</wp:posOffset>
                </wp:positionV>
                <wp:extent cx="7762240" cy="213995"/>
                <wp:effectExtent l="0" t="0" r="0" b="0"/>
                <wp:wrapNone/>
                <wp:docPr id="5" name="Group 5"/>
                <wp:cNvGraphicFramePr>
                  <a:graphicFrameLocks/>
                </wp:cNvGraphicFramePr>
                <a:graphic>
                  <a:graphicData uri="http://schemas.microsoft.com/office/word/2010/wordprocessingGroup">
                    <wpg:wgp>
                      <wpg:cNvPr id="5" name="Group 5"/>
                      <wpg:cNvGrpSpPr/>
                      <wpg:grpSpPr>
                        <a:xfrm>
                          <a:off x="0" y="0"/>
                          <a:ext cx="7762240" cy="213995"/>
                          <a:chExt cx="7762240" cy="213995"/>
                        </a:xfrm>
                      </wpg:grpSpPr>
                      <wps:wsp>
                        <wps:cNvPr id="6" name="Graphic 6"/>
                        <wps:cNvSpPr/>
                        <wps:spPr>
                          <a:xfrm>
                            <a:off x="0" y="121627"/>
                            <a:ext cx="7762240" cy="41275"/>
                          </a:xfrm>
                          <a:custGeom>
                            <a:avLst/>
                            <a:gdLst/>
                            <a:ahLst/>
                            <a:cxnLst/>
                            <a:rect l="l" t="t" r="r" b="b"/>
                            <a:pathLst>
                              <a:path w="7762240" h="41275">
                                <a:moveTo>
                                  <a:pt x="0" y="40919"/>
                                </a:moveTo>
                                <a:lnTo>
                                  <a:pt x="7762240" y="40919"/>
                                </a:lnTo>
                                <a:lnTo>
                                  <a:pt x="7762240" y="0"/>
                                </a:lnTo>
                                <a:lnTo>
                                  <a:pt x="0" y="0"/>
                                </a:lnTo>
                                <a:lnTo>
                                  <a:pt x="0" y="40919"/>
                                </a:lnTo>
                                <a:close/>
                              </a:path>
                            </a:pathLst>
                          </a:custGeom>
                          <a:solidFill>
                            <a:srgbClr val="0D6FB8"/>
                          </a:solidFill>
                        </wps:spPr>
                        <wps:bodyPr wrap="square" lIns="0" tIns="0" rIns="0" bIns="0" rtlCol="0">
                          <a:prstTxWarp prst="textNoShape">
                            <a:avLst/>
                          </a:prstTxWarp>
                          <a:noAutofit/>
                        </wps:bodyPr>
                      </wps:wsp>
                      <wps:wsp>
                        <wps:cNvPr id="7" name="Graphic 7"/>
                        <wps:cNvSpPr/>
                        <wps:spPr>
                          <a:xfrm>
                            <a:off x="0" y="0"/>
                            <a:ext cx="7761605" cy="70485"/>
                          </a:xfrm>
                          <a:custGeom>
                            <a:avLst/>
                            <a:gdLst/>
                            <a:ahLst/>
                            <a:cxnLst/>
                            <a:rect l="l" t="t" r="r" b="b"/>
                            <a:pathLst>
                              <a:path w="7761605" h="70485">
                                <a:moveTo>
                                  <a:pt x="7761605" y="0"/>
                                </a:moveTo>
                                <a:lnTo>
                                  <a:pt x="0" y="0"/>
                                </a:lnTo>
                                <a:lnTo>
                                  <a:pt x="0" y="70485"/>
                                </a:lnTo>
                                <a:lnTo>
                                  <a:pt x="7761605" y="70485"/>
                                </a:lnTo>
                                <a:lnTo>
                                  <a:pt x="7761605" y="0"/>
                                </a:lnTo>
                                <a:close/>
                              </a:path>
                            </a:pathLst>
                          </a:custGeom>
                          <a:solidFill>
                            <a:srgbClr val="F5821F"/>
                          </a:solidFill>
                        </wps:spPr>
                        <wps:bodyPr wrap="square" lIns="0" tIns="0" rIns="0" bIns="0" rtlCol="0">
                          <a:prstTxWarp prst="textNoShape">
                            <a:avLst/>
                          </a:prstTxWarp>
                          <a:noAutofit/>
                        </wps:bodyPr>
                      </wps:wsp>
                      <wps:wsp>
                        <wps:cNvPr id="8" name="Graphic 8"/>
                        <wps:cNvSpPr/>
                        <wps:spPr>
                          <a:xfrm>
                            <a:off x="0" y="121627"/>
                            <a:ext cx="7762240" cy="92075"/>
                          </a:xfrm>
                          <a:custGeom>
                            <a:avLst/>
                            <a:gdLst/>
                            <a:ahLst/>
                            <a:cxnLst/>
                            <a:rect l="l" t="t" r="r" b="b"/>
                            <a:pathLst>
                              <a:path w="7762240" h="92075">
                                <a:moveTo>
                                  <a:pt x="0" y="92075"/>
                                </a:moveTo>
                                <a:lnTo>
                                  <a:pt x="7762240" y="92075"/>
                                </a:lnTo>
                                <a:lnTo>
                                  <a:pt x="7762240" y="0"/>
                                </a:lnTo>
                                <a:lnTo>
                                  <a:pt x="0" y="0"/>
                                </a:lnTo>
                                <a:lnTo>
                                  <a:pt x="0" y="92075"/>
                                </a:lnTo>
                                <a:close/>
                              </a:path>
                            </a:pathLst>
                          </a:custGeom>
                          <a:solidFill>
                            <a:srgbClr val="0D6FB8"/>
                          </a:solidFill>
                        </wps:spPr>
                        <wps:bodyPr wrap="square" lIns="0" tIns="0" rIns="0" bIns="0" rtlCol="0">
                          <a:prstTxWarp prst="textNoShape">
                            <a:avLst/>
                          </a:prstTxWarp>
                          <a:noAutofit/>
                        </wps:bodyPr>
                      </wps:wsp>
                      <wps:wsp>
                        <wps:cNvPr id="9" name="Graphic 9"/>
                        <wps:cNvSpPr/>
                        <wps:spPr>
                          <a:xfrm>
                            <a:off x="0" y="51142"/>
                            <a:ext cx="7761605" cy="70485"/>
                          </a:xfrm>
                          <a:custGeom>
                            <a:avLst/>
                            <a:gdLst/>
                            <a:ahLst/>
                            <a:cxnLst/>
                            <a:rect l="l" t="t" r="r" b="b"/>
                            <a:pathLst>
                              <a:path w="7761605" h="70485">
                                <a:moveTo>
                                  <a:pt x="7761605" y="0"/>
                                </a:moveTo>
                                <a:lnTo>
                                  <a:pt x="0" y="0"/>
                                </a:lnTo>
                                <a:lnTo>
                                  <a:pt x="0" y="70484"/>
                                </a:lnTo>
                                <a:lnTo>
                                  <a:pt x="7761605" y="70484"/>
                                </a:lnTo>
                                <a:lnTo>
                                  <a:pt x="7761605" y="0"/>
                                </a:lnTo>
                                <a:close/>
                              </a:path>
                            </a:pathLst>
                          </a:custGeom>
                          <a:solidFill>
                            <a:srgbClr val="F5821F"/>
                          </a:solidFill>
                        </wps:spPr>
                        <wps:bodyPr wrap="square" lIns="0" tIns="0" rIns="0" bIns="0" rtlCol="0">
                          <a:prstTxWarp prst="textNoShape">
                            <a:avLst/>
                          </a:prstTxWarp>
                          <a:noAutofit/>
                        </wps:bodyPr>
                      </wps:wsp>
                    </wpg:wgp>
                  </a:graphicData>
                </a:graphic>
              </wp:anchor>
            </w:drawing>
          </mc:Choice>
          <mc:Fallback>
            <w:pict>
              <v:group style="position:absolute;margin-left:0pt;margin-top:733.630981pt;width:611.2pt;height:16.850pt;mso-position-horizontal-relative:page;mso-position-vertical-relative:page;z-index:15729152" id="docshapegroup4" coordorigin="0,14673" coordsize="12224,337">
                <v:rect style="position:absolute;left:0;top:14864;width:12224;height:65" id="docshape5" filled="true" fillcolor="#0d6fb8" stroked="false">
                  <v:fill type="solid"/>
                </v:rect>
                <v:rect style="position:absolute;left:0;top:14672;width:12223;height:111" id="docshape6" filled="true" fillcolor="#f5821f" stroked="false">
                  <v:fill type="solid"/>
                </v:rect>
                <v:rect style="position:absolute;left:0;top:14864;width:12224;height:145" id="docshape7" filled="true" fillcolor="#0d6fb8" stroked="false">
                  <v:fill type="solid"/>
                </v:rect>
                <v:rect style="position:absolute;left:0;top:14753;width:12223;height:111" id="docshape8" filled="true" fillcolor="#f5821f" stroked="false">
                  <v:fill type="solid"/>
                </v:rect>
                <w10:wrap type="none"/>
              </v:group>
            </w:pict>
          </mc:Fallback>
        </mc:AlternateContent>
      </w:r>
      <w:r>
        <w:rPr>
          <w:color w:val="004070"/>
        </w:rPr>
        <w:t>Transformational:</w:t>
      </w:r>
      <w:r>
        <w:rPr>
          <w:color w:val="004070"/>
          <w:spacing w:val="-9"/>
        </w:rPr>
        <w:t> </w:t>
      </w:r>
      <w:r>
        <w:rPr>
          <w:color w:val="004070"/>
        </w:rPr>
        <w:t>Making</w:t>
      </w:r>
      <w:r>
        <w:rPr>
          <w:color w:val="004070"/>
          <w:spacing w:val="-5"/>
        </w:rPr>
        <w:t> </w:t>
      </w:r>
      <w:r>
        <w:rPr>
          <w:color w:val="004070"/>
        </w:rPr>
        <w:t>a</w:t>
      </w:r>
      <w:r>
        <w:rPr>
          <w:color w:val="004070"/>
          <w:spacing w:val="-7"/>
        </w:rPr>
        <w:t> </w:t>
      </w:r>
      <w:r>
        <w:rPr>
          <w:color w:val="004070"/>
          <w:spacing w:val="-2"/>
        </w:rPr>
        <w:t>Difference</w:t>
      </w:r>
    </w:p>
    <w:p>
      <w:pPr>
        <w:spacing w:after="0"/>
        <w:jc w:val="center"/>
        <w:sectPr>
          <w:type w:val="continuous"/>
          <w:pgSz w:w="12240" w:h="15840"/>
          <w:pgMar w:top="300" w:bottom="0" w:left="40" w:right="300"/>
        </w:sectPr>
      </w:pPr>
    </w:p>
    <w:p>
      <w:pPr>
        <w:pStyle w:val="ListParagraph"/>
        <w:numPr>
          <w:ilvl w:val="1"/>
          <w:numId w:val="2"/>
        </w:numPr>
        <w:tabs>
          <w:tab w:pos="1222" w:val="left" w:leader="none"/>
        </w:tabs>
        <w:spacing w:line="240" w:lineRule="auto" w:before="157" w:after="0"/>
        <w:ind w:left="1222" w:right="100" w:hanging="504"/>
        <w:jc w:val="left"/>
        <w:rPr>
          <w:b/>
          <w:sz w:val="22"/>
        </w:rPr>
      </w:pPr>
      <w:r>
        <w:rPr>
          <w:b/>
          <w:sz w:val="22"/>
        </w:rPr>
        <w:t>Military Science Program </w:t>
      </w:r>
      <w:r>
        <w:rPr>
          <w:sz w:val="22"/>
        </w:rPr>
        <w:t>is our on-campus ROTC Program providing</w:t>
      </w:r>
      <w:r>
        <w:rPr>
          <w:spacing w:val="-2"/>
          <w:sz w:val="22"/>
        </w:rPr>
        <w:t> </w:t>
      </w:r>
      <w:r>
        <w:rPr>
          <w:sz w:val="22"/>
        </w:rPr>
        <w:t>physical</w:t>
      </w:r>
      <w:r>
        <w:rPr>
          <w:spacing w:val="-4"/>
          <w:sz w:val="22"/>
        </w:rPr>
        <w:t> </w:t>
      </w:r>
      <w:r>
        <w:rPr>
          <w:sz w:val="22"/>
        </w:rPr>
        <w:t>and</w:t>
      </w:r>
      <w:r>
        <w:rPr>
          <w:spacing w:val="-2"/>
          <w:sz w:val="22"/>
        </w:rPr>
        <w:t> </w:t>
      </w:r>
      <w:r>
        <w:rPr>
          <w:sz w:val="22"/>
        </w:rPr>
        <w:t>leadership</w:t>
      </w:r>
      <w:r>
        <w:rPr>
          <w:spacing w:val="-2"/>
          <w:sz w:val="22"/>
        </w:rPr>
        <w:t> </w:t>
      </w:r>
      <w:r>
        <w:rPr>
          <w:sz w:val="22"/>
        </w:rPr>
        <w:t>training, Military</w:t>
      </w:r>
      <w:r>
        <w:rPr>
          <w:spacing w:val="-13"/>
          <w:sz w:val="22"/>
        </w:rPr>
        <w:t> </w:t>
      </w:r>
      <w:r>
        <w:rPr>
          <w:sz w:val="22"/>
        </w:rPr>
        <w:t>Science</w:t>
      </w:r>
      <w:r>
        <w:rPr>
          <w:spacing w:val="-8"/>
          <w:sz w:val="22"/>
        </w:rPr>
        <w:t> </w:t>
      </w:r>
      <w:r>
        <w:rPr>
          <w:sz w:val="22"/>
        </w:rPr>
        <w:t>classes,</w:t>
      </w:r>
      <w:r>
        <w:rPr>
          <w:spacing w:val="-6"/>
          <w:sz w:val="22"/>
        </w:rPr>
        <w:t> </w:t>
      </w:r>
      <w:r>
        <w:rPr>
          <w:sz w:val="22"/>
        </w:rPr>
        <w:t>and</w:t>
      </w:r>
      <w:r>
        <w:rPr>
          <w:spacing w:val="-7"/>
          <w:sz w:val="22"/>
        </w:rPr>
        <w:t> </w:t>
      </w:r>
      <w:r>
        <w:rPr>
          <w:sz w:val="22"/>
        </w:rPr>
        <w:t>field</w:t>
      </w:r>
      <w:r>
        <w:rPr>
          <w:spacing w:val="-7"/>
          <w:sz w:val="22"/>
        </w:rPr>
        <w:t> </w:t>
      </w:r>
      <w:r>
        <w:rPr>
          <w:sz w:val="22"/>
        </w:rPr>
        <w:t>training</w:t>
      </w:r>
      <w:r>
        <w:rPr>
          <w:spacing w:val="-7"/>
          <w:sz w:val="22"/>
        </w:rPr>
        <w:t> </w:t>
      </w:r>
      <w:r>
        <w:rPr>
          <w:sz w:val="22"/>
        </w:rPr>
        <w:t>exercises. </w:t>
      </w:r>
      <w:r>
        <w:rPr>
          <w:b/>
          <w:spacing w:val="-2"/>
          <w:sz w:val="22"/>
        </w:rPr>
        <w:t>(Minor)</w:t>
      </w:r>
    </w:p>
    <w:p>
      <w:pPr>
        <w:pStyle w:val="ListParagraph"/>
        <w:numPr>
          <w:ilvl w:val="1"/>
          <w:numId w:val="2"/>
        </w:numPr>
        <w:tabs>
          <w:tab w:pos="1222" w:val="left" w:leader="none"/>
        </w:tabs>
        <w:spacing w:line="240" w:lineRule="auto" w:before="0" w:after="0"/>
        <w:ind w:left="1222" w:right="221" w:hanging="504"/>
        <w:jc w:val="left"/>
        <w:rPr>
          <w:b/>
          <w:sz w:val="22"/>
        </w:rPr>
      </w:pPr>
      <w:r>
        <w:rPr>
          <w:b/>
          <w:sz w:val="22"/>
        </w:rPr>
        <w:t>The School of Nursing </w:t>
      </w:r>
      <w:r>
        <w:rPr>
          <w:sz w:val="22"/>
        </w:rPr>
        <w:t>is committed to providing quality undergraduate and graduate nursing programs that are accessible to a diverse student population.</w:t>
      </w:r>
      <w:r>
        <w:rPr>
          <w:spacing w:val="-3"/>
          <w:sz w:val="22"/>
        </w:rPr>
        <w:t> </w:t>
      </w:r>
      <w:r>
        <w:rPr>
          <w:sz w:val="22"/>
        </w:rPr>
        <w:t>In</w:t>
      </w:r>
      <w:r>
        <w:rPr>
          <w:spacing w:val="-4"/>
          <w:sz w:val="22"/>
        </w:rPr>
        <w:t> </w:t>
      </w:r>
      <w:r>
        <w:rPr>
          <w:sz w:val="22"/>
        </w:rPr>
        <w:t>doing</w:t>
      </w:r>
      <w:r>
        <w:rPr>
          <w:spacing w:val="-4"/>
          <w:sz w:val="22"/>
        </w:rPr>
        <w:t> </w:t>
      </w:r>
      <w:r>
        <w:rPr>
          <w:sz w:val="22"/>
        </w:rPr>
        <w:t>so,</w:t>
      </w:r>
      <w:r>
        <w:rPr>
          <w:spacing w:val="-5"/>
          <w:sz w:val="22"/>
        </w:rPr>
        <w:t> </w:t>
      </w:r>
      <w:r>
        <w:rPr>
          <w:sz w:val="22"/>
        </w:rPr>
        <w:t>we</w:t>
      </w:r>
      <w:r>
        <w:rPr>
          <w:spacing w:val="-5"/>
          <w:sz w:val="22"/>
        </w:rPr>
        <w:t> </w:t>
      </w:r>
      <w:r>
        <w:rPr>
          <w:sz w:val="22"/>
        </w:rPr>
        <w:t>strive</w:t>
      </w:r>
      <w:r>
        <w:rPr>
          <w:spacing w:val="-2"/>
          <w:sz w:val="22"/>
        </w:rPr>
        <w:t> </w:t>
      </w:r>
      <w:r>
        <w:rPr>
          <w:sz w:val="22"/>
        </w:rPr>
        <w:t>to</w:t>
      </w:r>
      <w:r>
        <w:rPr>
          <w:spacing w:val="-2"/>
          <w:sz w:val="22"/>
        </w:rPr>
        <w:t> </w:t>
      </w:r>
      <w:r>
        <w:rPr>
          <w:sz w:val="22"/>
        </w:rPr>
        <w:t>be</w:t>
      </w:r>
      <w:r>
        <w:rPr>
          <w:spacing w:val="-5"/>
          <w:sz w:val="22"/>
        </w:rPr>
        <w:t> </w:t>
      </w:r>
      <w:r>
        <w:rPr>
          <w:sz w:val="22"/>
        </w:rPr>
        <w:t>a</w:t>
      </w:r>
      <w:r>
        <w:rPr>
          <w:spacing w:val="-3"/>
          <w:sz w:val="22"/>
        </w:rPr>
        <w:t> </w:t>
      </w:r>
      <w:r>
        <w:rPr>
          <w:sz w:val="22"/>
        </w:rPr>
        <w:t>center</w:t>
      </w:r>
      <w:r>
        <w:rPr>
          <w:spacing w:val="-5"/>
          <w:sz w:val="22"/>
        </w:rPr>
        <w:t> </w:t>
      </w:r>
      <w:r>
        <w:rPr>
          <w:sz w:val="22"/>
        </w:rPr>
        <w:t>of excellence in nursing education. </w:t>
      </w:r>
      <w:r>
        <w:rPr>
          <w:b/>
          <w:sz w:val="22"/>
        </w:rPr>
        <w:t>(BSN; RN-BSN; MSN</w:t>
      </w:r>
      <w:r>
        <w:rPr>
          <w:b/>
          <w:spacing w:val="-1"/>
          <w:sz w:val="22"/>
        </w:rPr>
        <w:t> </w:t>
      </w:r>
      <w:r>
        <w:rPr>
          <w:b/>
          <w:sz w:val="22"/>
        </w:rPr>
        <w:t>with</w:t>
      </w:r>
      <w:r>
        <w:rPr>
          <w:b/>
          <w:spacing w:val="-1"/>
          <w:sz w:val="22"/>
        </w:rPr>
        <w:t> </w:t>
      </w:r>
      <w:r>
        <w:rPr>
          <w:b/>
          <w:sz w:val="22"/>
        </w:rPr>
        <w:t>four</w:t>
      </w:r>
      <w:r>
        <w:rPr>
          <w:b/>
          <w:spacing w:val="-2"/>
          <w:sz w:val="22"/>
        </w:rPr>
        <w:t> </w:t>
      </w:r>
      <w:r>
        <w:rPr>
          <w:b/>
          <w:sz w:val="22"/>
        </w:rPr>
        <w:t>specializations:</w:t>
      </w:r>
      <w:r>
        <w:rPr>
          <w:b/>
          <w:spacing w:val="-1"/>
          <w:sz w:val="22"/>
        </w:rPr>
        <w:t> </w:t>
      </w:r>
      <w:r>
        <w:rPr>
          <w:b/>
          <w:sz w:val="22"/>
        </w:rPr>
        <w:t>Leadership,</w:t>
      </w:r>
      <w:r>
        <w:rPr>
          <w:b/>
          <w:spacing w:val="-2"/>
          <w:sz w:val="22"/>
        </w:rPr>
        <w:t> </w:t>
      </w:r>
      <w:r>
        <w:rPr>
          <w:b/>
          <w:sz w:val="22"/>
        </w:rPr>
        <w:t>Nurse Educator, School Nursing, Women’s Health Care; DNP with two tracks; Post-Masters, Nurse </w:t>
      </w:r>
      <w:r>
        <w:rPr>
          <w:b/>
          <w:spacing w:val="-2"/>
          <w:sz w:val="22"/>
        </w:rPr>
        <w:t>Anesthesia)</w:t>
      </w:r>
    </w:p>
    <w:p>
      <w:pPr>
        <w:pStyle w:val="ListParagraph"/>
        <w:numPr>
          <w:ilvl w:val="1"/>
          <w:numId w:val="2"/>
        </w:numPr>
        <w:tabs>
          <w:tab w:pos="1222" w:val="left" w:leader="none"/>
        </w:tabs>
        <w:spacing w:line="240" w:lineRule="auto" w:before="0" w:after="0"/>
        <w:ind w:left="1222" w:right="95" w:hanging="504"/>
        <w:jc w:val="left"/>
        <w:rPr>
          <w:b/>
          <w:sz w:val="22"/>
        </w:rPr>
      </w:pPr>
      <w:r>
        <w:rPr>
          <w:b/>
          <w:sz w:val="22"/>
        </w:rPr>
        <w:t>The</w:t>
      </w:r>
      <w:r>
        <w:rPr>
          <w:b/>
          <w:spacing w:val="-6"/>
          <w:sz w:val="22"/>
        </w:rPr>
        <w:t> </w:t>
      </w:r>
      <w:r>
        <w:rPr>
          <w:b/>
          <w:sz w:val="22"/>
        </w:rPr>
        <w:t>Department</w:t>
      </w:r>
      <w:r>
        <w:rPr>
          <w:b/>
          <w:spacing w:val="-5"/>
          <w:sz w:val="22"/>
        </w:rPr>
        <w:t> </w:t>
      </w:r>
      <w:r>
        <w:rPr>
          <w:b/>
          <w:sz w:val="22"/>
        </w:rPr>
        <w:t>of</w:t>
      </w:r>
      <w:r>
        <w:rPr>
          <w:b/>
          <w:spacing w:val="-8"/>
          <w:sz w:val="22"/>
        </w:rPr>
        <w:t> </w:t>
      </w:r>
      <w:r>
        <w:rPr>
          <w:b/>
          <w:sz w:val="22"/>
        </w:rPr>
        <w:t>Social</w:t>
      </w:r>
      <w:r>
        <w:rPr>
          <w:b/>
          <w:spacing w:val="-6"/>
          <w:sz w:val="22"/>
        </w:rPr>
        <w:t> </w:t>
      </w:r>
      <w:r>
        <w:rPr>
          <w:b/>
          <w:sz w:val="22"/>
        </w:rPr>
        <w:t>Work</w:t>
      </w:r>
      <w:r>
        <w:rPr>
          <w:b/>
          <w:spacing w:val="-5"/>
          <w:sz w:val="22"/>
        </w:rPr>
        <w:t> </w:t>
      </w:r>
      <w:r>
        <w:rPr>
          <w:sz w:val="22"/>
        </w:rPr>
        <w:t>educates</w:t>
      </w:r>
      <w:r>
        <w:rPr>
          <w:spacing w:val="-5"/>
          <w:sz w:val="22"/>
        </w:rPr>
        <w:t> </w:t>
      </w:r>
      <w:r>
        <w:rPr>
          <w:sz w:val="22"/>
        </w:rPr>
        <w:t>emerging and committed professionals for direct social work practice with vulnerable children and families in a socially, culturally, and economically diverse urban environment. </w:t>
      </w:r>
      <w:r>
        <w:rPr>
          <w:b/>
          <w:sz w:val="22"/>
        </w:rPr>
        <w:t>(MSW)</w:t>
      </w:r>
    </w:p>
    <w:p>
      <w:pPr>
        <w:pStyle w:val="BodyText"/>
        <w:ind w:left="0" w:firstLine="0"/>
        <w:rPr>
          <w:b/>
        </w:rPr>
      </w:pPr>
    </w:p>
    <w:p>
      <w:pPr>
        <w:pStyle w:val="BodyText"/>
        <w:ind w:left="430" w:right="150" w:firstLine="0"/>
      </w:pPr>
      <w:r>
        <w:rPr/>
        <w:t>The</w:t>
      </w:r>
      <w:r>
        <w:rPr>
          <w:spacing w:val="-4"/>
        </w:rPr>
        <w:t> </w:t>
      </w:r>
      <w:r>
        <w:rPr/>
        <w:t>College</w:t>
      </w:r>
      <w:r>
        <w:rPr>
          <w:spacing w:val="-6"/>
        </w:rPr>
        <w:t> </w:t>
      </w:r>
      <w:r>
        <w:rPr/>
        <w:t>also</w:t>
      </w:r>
      <w:r>
        <w:rPr>
          <w:spacing w:val="-5"/>
        </w:rPr>
        <w:t> </w:t>
      </w:r>
      <w:r>
        <w:rPr/>
        <w:t>houses</w:t>
      </w:r>
      <w:r>
        <w:rPr>
          <w:spacing w:val="-4"/>
        </w:rPr>
        <w:t> </w:t>
      </w:r>
      <w:r>
        <w:rPr/>
        <w:t>the</w:t>
      </w:r>
      <w:r>
        <w:rPr>
          <w:spacing w:val="-4"/>
        </w:rPr>
        <w:t> </w:t>
      </w:r>
      <w:r>
        <w:rPr/>
        <w:t>following</w:t>
      </w:r>
      <w:r>
        <w:rPr>
          <w:spacing w:val="-5"/>
        </w:rPr>
        <w:t> </w:t>
      </w:r>
      <w:r>
        <w:rPr/>
        <w:t>Institutes</w:t>
      </w:r>
      <w:r>
        <w:rPr>
          <w:spacing w:val="-6"/>
        </w:rPr>
        <w:t> </w:t>
      </w:r>
      <w:r>
        <w:rPr/>
        <w:t>and</w:t>
      </w:r>
      <w:r>
        <w:rPr>
          <w:spacing w:val="-5"/>
        </w:rPr>
        <w:t> </w:t>
      </w:r>
      <w:r>
        <w:rPr/>
        <w:t>Centers in support of its mission:</w:t>
      </w:r>
    </w:p>
    <w:p>
      <w:pPr>
        <w:pStyle w:val="ListParagraph"/>
        <w:numPr>
          <w:ilvl w:val="1"/>
          <w:numId w:val="2"/>
        </w:numPr>
        <w:tabs>
          <w:tab w:pos="1078" w:val="left" w:leader="none"/>
        </w:tabs>
        <w:spacing w:line="240" w:lineRule="auto" w:before="1" w:after="0"/>
        <w:ind w:left="1078" w:right="57" w:hanging="360"/>
        <w:jc w:val="left"/>
        <w:rPr>
          <w:sz w:val="22"/>
        </w:rPr>
      </w:pPr>
      <w:r>
        <w:rPr>
          <w:b/>
          <w:sz w:val="22"/>
        </w:rPr>
        <w:t>Center for Autism </w:t>
      </w:r>
      <w:r>
        <w:rPr>
          <w:sz w:val="22"/>
        </w:rPr>
        <w:t>is dedicated to research, education, and service in autism spectrum disorders (ASD). The mission of the </w:t>
      </w:r>
      <w:r>
        <w:rPr>
          <w:b/>
          <w:sz w:val="22"/>
        </w:rPr>
        <w:t>Applied Developmental Core </w:t>
      </w:r>
      <w:r>
        <w:rPr>
          <w:sz w:val="22"/>
        </w:rPr>
        <w:t>is to understand developmental processes in autism</w:t>
      </w:r>
      <w:r>
        <w:rPr>
          <w:spacing w:val="-4"/>
          <w:sz w:val="22"/>
        </w:rPr>
        <w:t> </w:t>
      </w:r>
      <w:r>
        <w:rPr>
          <w:sz w:val="22"/>
        </w:rPr>
        <w:t>and</w:t>
      </w:r>
      <w:r>
        <w:rPr>
          <w:spacing w:val="-7"/>
          <w:sz w:val="22"/>
        </w:rPr>
        <w:t> </w:t>
      </w:r>
      <w:r>
        <w:rPr>
          <w:sz w:val="22"/>
        </w:rPr>
        <w:t>to</w:t>
      </w:r>
      <w:r>
        <w:rPr>
          <w:spacing w:val="-5"/>
          <w:sz w:val="22"/>
        </w:rPr>
        <w:t> </w:t>
      </w:r>
      <w:r>
        <w:rPr>
          <w:sz w:val="22"/>
        </w:rPr>
        <w:t>promote</w:t>
      </w:r>
      <w:r>
        <w:rPr>
          <w:spacing w:val="-6"/>
          <w:sz w:val="22"/>
        </w:rPr>
        <w:t> </w:t>
      </w:r>
      <w:r>
        <w:rPr>
          <w:sz w:val="22"/>
        </w:rPr>
        <w:t>competence</w:t>
      </w:r>
      <w:r>
        <w:rPr>
          <w:spacing w:val="-4"/>
          <w:sz w:val="22"/>
        </w:rPr>
        <w:t> </w:t>
      </w:r>
      <w:r>
        <w:rPr>
          <w:sz w:val="22"/>
        </w:rPr>
        <w:t>and</w:t>
      </w:r>
      <w:r>
        <w:rPr>
          <w:spacing w:val="-7"/>
          <w:sz w:val="22"/>
        </w:rPr>
        <w:t> </w:t>
      </w:r>
      <w:r>
        <w:rPr>
          <w:sz w:val="22"/>
        </w:rPr>
        <w:t>well-being</w:t>
      </w:r>
      <w:r>
        <w:rPr>
          <w:spacing w:val="-5"/>
          <w:sz w:val="22"/>
        </w:rPr>
        <w:t> </w:t>
      </w:r>
      <w:r>
        <w:rPr>
          <w:sz w:val="22"/>
        </w:rPr>
        <w:t>in children with ASD and their families.</w:t>
      </w:r>
    </w:p>
    <w:p>
      <w:pPr>
        <w:pStyle w:val="ListParagraph"/>
        <w:numPr>
          <w:ilvl w:val="1"/>
          <w:numId w:val="2"/>
        </w:numPr>
        <w:tabs>
          <w:tab w:pos="1078" w:val="left" w:leader="none"/>
        </w:tabs>
        <w:spacing w:line="240" w:lineRule="auto" w:before="1" w:after="0"/>
        <w:ind w:left="1078" w:right="65" w:hanging="360"/>
        <w:jc w:val="left"/>
        <w:rPr>
          <w:sz w:val="22"/>
        </w:rPr>
      </w:pPr>
      <w:r>
        <w:rPr>
          <w:b/>
          <w:sz w:val="22"/>
        </w:rPr>
        <w:t>Center for Boys and Men </w:t>
      </w:r>
      <w:r>
        <w:rPr>
          <w:sz w:val="22"/>
        </w:rPr>
        <w:t>promotes research and community outreach in areas related to the psychological</w:t>
      </w:r>
      <w:r>
        <w:rPr>
          <w:spacing w:val="-7"/>
          <w:sz w:val="22"/>
        </w:rPr>
        <w:t> </w:t>
      </w:r>
      <w:r>
        <w:rPr>
          <w:sz w:val="22"/>
        </w:rPr>
        <w:t>well-being</w:t>
      </w:r>
      <w:r>
        <w:rPr>
          <w:spacing w:val="-7"/>
          <w:sz w:val="22"/>
        </w:rPr>
        <w:t> </w:t>
      </w:r>
      <w:r>
        <w:rPr>
          <w:sz w:val="22"/>
        </w:rPr>
        <w:t>of</w:t>
      </w:r>
      <w:r>
        <w:rPr>
          <w:spacing w:val="-6"/>
          <w:sz w:val="22"/>
        </w:rPr>
        <w:t> </w:t>
      </w:r>
      <w:r>
        <w:rPr>
          <w:sz w:val="22"/>
        </w:rPr>
        <w:t>boys</w:t>
      </w:r>
      <w:r>
        <w:rPr>
          <w:spacing w:val="-6"/>
          <w:sz w:val="22"/>
        </w:rPr>
        <w:t> </w:t>
      </w:r>
      <w:r>
        <w:rPr>
          <w:sz w:val="22"/>
        </w:rPr>
        <w:t>and</w:t>
      </w:r>
      <w:r>
        <w:rPr>
          <w:spacing w:val="-5"/>
          <w:sz w:val="22"/>
        </w:rPr>
        <w:t> </w:t>
      </w:r>
      <w:r>
        <w:rPr>
          <w:sz w:val="22"/>
        </w:rPr>
        <w:t>men.</w:t>
      </w:r>
      <w:r>
        <w:rPr>
          <w:spacing w:val="-4"/>
          <w:sz w:val="22"/>
        </w:rPr>
        <w:t> </w:t>
      </w:r>
      <w:r>
        <w:rPr>
          <w:sz w:val="22"/>
        </w:rPr>
        <w:t>The</w:t>
      </w:r>
      <w:r>
        <w:rPr>
          <w:spacing w:val="-6"/>
          <w:sz w:val="22"/>
        </w:rPr>
        <w:t> </w:t>
      </w:r>
      <w:r>
        <w:rPr>
          <w:sz w:val="22"/>
        </w:rPr>
        <w:t>Center facilitates scholarly work on male gender role norms and diverse forms of masculinity and how they intersect with mental health.</w:t>
      </w:r>
    </w:p>
    <w:p>
      <w:pPr>
        <w:pStyle w:val="ListParagraph"/>
        <w:numPr>
          <w:ilvl w:val="1"/>
          <w:numId w:val="2"/>
        </w:numPr>
        <w:tabs>
          <w:tab w:pos="1078" w:val="left" w:leader="none"/>
        </w:tabs>
        <w:spacing w:line="240" w:lineRule="auto" w:before="0" w:after="0"/>
        <w:ind w:left="1078" w:right="448" w:hanging="360"/>
        <w:jc w:val="left"/>
        <w:rPr>
          <w:sz w:val="22"/>
        </w:rPr>
      </w:pPr>
      <w:r>
        <w:rPr>
          <w:b/>
          <w:sz w:val="22"/>
        </w:rPr>
        <w:t>Center</w:t>
      </w:r>
      <w:r>
        <w:rPr>
          <w:b/>
          <w:spacing w:val="-6"/>
          <w:sz w:val="22"/>
        </w:rPr>
        <w:t> </w:t>
      </w:r>
      <w:r>
        <w:rPr>
          <w:b/>
          <w:sz w:val="22"/>
        </w:rPr>
        <w:t>for</w:t>
      </w:r>
      <w:r>
        <w:rPr>
          <w:b/>
          <w:spacing w:val="-9"/>
          <w:sz w:val="22"/>
        </w:rPr>
        <w:t> </w:t>
      </w:r>
      <w:r>
        <w:rPr>
          <w:b/>
          <w:sz w:val="22"/>
        </w:rPr>
        <w:t>Cancer</w:t>
      </w:r>
      <w:r>
        <w:rPr>
          <w:b/>
          <w:spacing w:val="-9"/>
          <w:sz w:val="22"/>
        </w:rPr>
        <w:t> </w:t>
      </w:r>
      <w:r>
        <w:rPr>
          <w:b/>
          <w:sz w:val="22"/>
        </w:rPr>
        <w:t>Disparities</w:t>
      </w:r>
      <w:r>
        <w:rPr>
          <w:b/>
          <w:spacing w:val="-6"/>
          <w:sz w:val="22"/>
        </w:rPr>
        <w:t> </w:t>
      </w:r>
      <w:r>
        <w:rPr>
          <w:b/>
          <w:sz w:val="22"/>
        </w:rPr>
        <w:t>Research</w:t>
      </w:r>
      <w:r>
        <w:rPr>
          <w:b/>
          <w:spacing w:val="-7"/>
          <w:sz w:val="22"/>
        </w:rPr>
        <w:t> </w:t>
      </w:r>
      <w:r>
        <w:rPr>
          <w:sz w:val="22"/>
        </w:rPr>
        <w:t>promotes scholarship</w:t>
      </w:r>
      <w:r>
        <w:rPr>
          <w:spacing w:val="-2"/>
          <w:sz w:val="22"/>
        </w:rPr>
        <w:t> </w:t>
      </w:r>
      <w:r>
        <w:rPr>
          <w:sz w:val="22"/>
        </w:rPr>
        <w:t>and</w:t>
      </w:r>
      <w:r>
        <w:rPr>
          <w:spacing w:val="-2"/>
          <w:sz w:val="22"/>
        </w:rPr>
        <w:t> </w:t>
      </w:r>
      <w:r>
        <w:rPr>
          <w:sz w:val="22"/>
        </w:rPr>
        <w:t>creative activities</w:t>
      </w:r>
      <w:r>
        <w:rPr>
          <w:spacing w:val="-1"/>
          <w:sz w:val="22"/>
        </w:rPr>
        <w:t> </w:t>
      </w:r>
      <w:r>
        <w:rPr>
          <w:sz w:val="22"/>
        </w:rPr>
        <w:t>to improve</w:t>
      </w:r>
      <w:r>
        <w:rPr>
          <w:spacing w:val="-3"/>
          <w:sz w:val="22"/>
        </w:rPr>
        <w:t> </w:t>
      </w:r>
      <w:r>
        <w:rPr>
          <w:sz w:val="22"/>
        </w:rPr>
        <w:t>the cancer-related health and well-being of ethnic minority and other medically underserved populations in Orange County.</w:t>
      </w:r>
    </w:p>
    <w:p>
      <w:pPr>
        <w:pStyle w:val="ListParagraph"/>
        <w:numPr>
          <w:ilvl w:val="1"/>
          <w:numId w:val="2"/>
        </w:numPr>
        <w:tabs>
          <w:tab w:pos="1078" w:val="left" w:leader="none"/>
        </w:tabs>
        <w:spacing w:line="240" w:lineRule="auto" w:before="0" w:after="0"/>
        <w:ind w:left="1078" w:right="220" w:hanging="360"/>
        <w:jc w:val="left"/>
        <w:rPr>
          <w:sz w:val="22"/>
        </w:rPr>
      </w:pPr>
      <w:r>
        <w:rPr>
          <w:b/>
          <w:sz w:val="22"/>
        </w:rPr>
        <w:t>Center</w:t>
      </w:r>
      <w:r>
        <w:rPr>
          <w:b/>
          <w:spacing w:val="-5"/>
          <w:sz w:val="22"/>
        </w:rPr>
        <w:t> </w:t>
      </w:r>
      <w:r>
        <w:rPr>
          <w:b/>
          <w:sz w:val="22"/>
        </w:rPr>
        <w:t>for</w:t>
      </w:r>
      <w:r>
        <w:rPr>
          <w:b/>
          <w:spacing w:val="-8"/>
          <w:sz w:val="22"/>
        </w:rPr>
        <w:t> </w:t>
      </w:r>
      <w:r>
        <w:rPr>
          <w:b/>
          <w:sz w:val="22"/>
        </w:rPr>
        <w:t>Community</w:t>
      </w:r>
      <w:r>
        <w:rPr>
          <w:b/>
          <w:spacing w:val="-7"/>
          <w:sz w:val="22"/>
        </w:rPr>
        <w:t> </w:t>
      </w:r>
      <w:r>
        <w:rPr>
          <w:b/>
          <w:sz w:val="22"/>
        </w:rPr>
        <w:t>Collaboration</w:t>
      </w:r>
      <w:r>
        <w:rPr>
          <w:b/>
          <w:spacing w:val="-7"/>
          <w:sz w:val="22"/>
        </w:rPr>
        <w:t> </w:t>
      </w:r>
      <w:r>
        <w:rPr>
          <w:b/>
          <w:sz w:val="22"/>
        </w:rPr>
        <w:t>(CCC)</w:t>
      </w:r>
      <w:r>
        <w:rPr>
          <w:b/>
          <w:spacing w:val="-7"/>
          <w:sz w:val="22"/>
        </w:rPr>
        <w:t> </w:t>
      </w:r>
      <w:r>
        <w:rPr>
          <w:sz w:val="22"/>
        </w:rPr>
        <w:t>seeks</w:t>
      </w:r>
      <w:r>
        <w:rPr>
          <w:spacing w:val="-6"/>
          <w:sz w:val="22"/>
        </w:rPr>
        <w:t> </w:t>
      </w:r>
      <w:r>
        <w:rPr>
          <w:sz w:val="22"/>
        </w:rPr>
        <w:t>to strengthen communities through reciprocal collaboration with public agencies and community- based organizations through the cooperative activities of the College of Health and Human Development. CCC focuses on the ever-evolving education and practice needs of the community.</w:t>
      </w:r>
    </w:p>
    <w:p>
      <w:pPr>
        <w:pStyle w:val="ListParagraph"/>
        <w:numPr>
          <w:ilvl w:val="1"/>
          <w:numId w:val="2"/>
        </w:numPr>
        <w:tabs>
          <w:tab w:pos="1078" w:val="left" w:leader="none"/>
        </w:tabs>
        <w:spacing w:line="240" w:lineRule="auto" w:before="0" w:after="0"/>
        <w:ind w:left="1078" w:right="38" w:hanging="360"/>
        <w:jc w:val="left"/>
        <w:rPr>
          <w:sz w:val="22"/>
        </w:rPr>
      </w:pPr>
      <w:r>
        <w:rPr>
          <w:b/>
          <w:sz w:val="22"/>
        </w:rPr>
        <w:t>Center for Healthy Neighborhoods </w:t>
      </w:r>
      <w:r>
        <w:rPr>
          <w:sz w:val="22"/>
        </w:rPr>
        <w:t>strives to help alleviate education and health disparities in underserved and vulnerable neighborhoods by offering culturally-appropriate programs and services that</w:t>
      </w:r>
      <w:r>
        <w:rPr>
          <w:spacing w:val="-5"/>
          <w:sz w:val="22"/>
        </w:rPr>
        <w:t> </w:t>
      </w:r>
      <w:r>
        <w:rPr>
          <w:sz w:val="22"/>
        </w:rPr>
        <w:t>promote</w:t>
      </w:r>
      <w:r>
        <w:rPr>
          <w:spacing w:val="-8"/>
          <w:sz w:val="22"/>
        </w:rPr>
        <w:t> </w:t>
      </w:r>
      <w:r>
        <w:rPr>
          <w:sz w:val="22"/>
        </w:rPr>
        <w:t>education,</w:t>
      </w:r>
      <w:r>
        <w:rPr>
          <w:spacing w:val="-6"/>
          <w:sz w:val="22"/>
        </w:rPr>
        <w:t> </w:t>
      </w:r>
      <w:r>
        <w:rPr>
          <w:sz w:val="22"/>
        </w:rPr>
        <w:t>health,</w:t>
      </w:r>
      <w:r>
        <w:rPr>
          <w:spacing w:val="-6"/>
          <w:sz w:val="22"/>
        </w:rPr>
        <w:t> </w:t>
      </w:r>
      <w:r>
        <w:rPr>
          <w:sz w:val="22"/>
        </w:rPr>
        <w:t>and</w:t>
      </w:r>
      <w:r>
        <w:rPr>
          <w:spacing w:val="-7"/>
          <w:sz w:val="22"/>
        </w:rPr>
        <w:t> </w:t>
      </w:r>
      <w:r>
        <w:rPr>
          <w:sz w:val="22"/>
        </w:rPr>
        <w:t>resilience</w:t>
      </w:r>
      <w:r>
        <w:rPr>
          <w:spacing w:val="-8"/>
          <w:sz w:val="22"/>
        </w:rPr>
        <w:t> </w:t>
      </w:r>
      <w:r>
        <w:rPr>
          <w:sz w:val="22"/>
        </w:rPr>
        <w:t>among low-income children and families.</w:t>
      </w:r>
    </w:p>
    <w:p>
      <w:pPr>
        <w:pStyle w:val="ListParagraph"/>
        <w:numPr>
          <w:ilvl w:val="0"/>
          <w:numId w:val="2"/>
        </w:numPr>
        <w:tabs>
          <w:tab w:pos="790" w:val="left" w:leader="none"/>
        </w:tabs>
        <w:spacing w:line="240" w:lineRule="auto" w:before="78" w:after="0"/>
        <w:ind w:left="790" w:right="385" w:hanging="360"/>
        <w:jc w:val="left"/>
        <w:rPr>
          <w:sz w:val="22"/>
        </w:rPr>
      </w:pPr>
      <w:r>
        <w:rPr/>
        <w:br w:type="column"/>
      </w:r>
      <w:r>
        <w:rPr>
          <w:b/>
          <w:sz w:val="22"/>
        </w:rPr>
        <w:t>Center for Nursing Workforce Excellence</w:t>
      </w:r>
      <w:r>
        <w:rPr>
          <w:sz w:val="22"/>
        </w:rPr>
        <w:t>: The purpose of the Center is to form university- community partnerships to operationalize best practices</w:t>
      </w:r>
      <w:r>
        <w:rPr>
          <w:spacing w:val="-6"/>
          <w:sz w:val="22"/>
        </w:rPr>
        <w:t> </w:t>
      </w:r>
      <w:r>
        <w:rPr>
          <w:sz w:val="22"/>
        </w:rPr>
        <w:t>in</w:t>
      </w:r>
      <w:r>
        <w:rPr>
          <w:spacing w:val="-9"/>
          <w:sz w:val="22"/>
        </w:rPr>
        <w:t> </w:t>
      </w:r>
      <w:r>
        <w:rPr>
          <w:sz w:val="22"/>
        </w:rPr>
        <w:t>nursing</w:t>
      </w:r>
      <w:r>
        <w:rPr>
          <w:spacing w:val="-7"/>
          <w:sz w:val="22"/>
        </w:rPr>
        <w:t> </w:t>
      </w:r>
      <w:r>
        <w:rPr>
          <w:sz w:val="22"/>
        </w:rPr>
        <w:t>and</w:t>
      </w:r>
      <w:r>
        <w:rPr>
          <w:spacing w:val="-7"/>
          <w:sz w:val="22"/>
        </w:rPr>
        <w:t> </w:t>
      </w:r>
      <w:r>
        <w:rPr>
          <w:sz w:val="22"/>
        </w:rPr>
        <w:t>healthcare</w:t>
      </w:r>
      <w:r>
        <w:rPr>
          <w:spacing w:val="-5"/>
          <w:sz w:val="22"/>
        </w:rPr>
        <w:t> </w:t>
      </w:r>
      <w:r>
        <w:rPr>
          <w:sz w:val="22"/>
        </w:rPr>
        <w:t>delivery</w:t>
      </w:r>
      <w:r>
        <w:rPr>
          <w:spacing w:val="-5"/>
          <w:sz w:val="22"/>
        </w:rPr>
        <w:t> </w:t>
      </w:r>
      <w:r>
        <w:rPr>
          <w:sz w:val="22"/>
        </w:rPr>
        <w:t>through education, consultation, research, and other collaborative activities. These connections will enhance resource utilization to foster student and faculty innovated practices and research.</w:t>
      </w:r>
    </w:p>
    <w:p>
      <w:pPr>
        <w:pStyle w:val="ListParagraph"/>
        <w:numPr>
          <w:ilvl w:val="0"/>
          <w:numId w:val="2"/>
        </w:numPr>
        <w:tabs>
          <w:tab w:pos="790" w:val="left" w:leader="none"/>
        </w:tabs>
        <w:spacing w:line="240" w:lineRule="auto" w:before="1" w:after="0"/>
        <w:ind w:left="790" w:right="271" w:hanging="360"/>
        <w:jc w:val="left"/>
        <w:rPr>
          <w:sz w:val="22"/>
        </w:rPr>
      </w:pPr>
      <w:r>
        <w:rPr>
          <w:b/>
          <w:sz w:val="22"/>
        </w:rPr>
        <w:t>The Center for Sociocultural Sport and Olympic Research: </w:t>
      </w:r>
      <w:r>
        <w:rPr>
          <w:sz w:val="22"/>
        </w:rPr>
        <w:t>CSSOR’s mission is to promote education and</w:t>
      </w:r>
      <w:r>
        <w:rPr>
          <w:spacing w:val="-6"/>
          <w:sz w:val="22"/>
        </w:rPr>
        <w:t> </w:t>
      </w:r>
      <w:r>
        <w:rPr>
          <w:sz w:val="22"/>
        </w:rPr>
        <w:t>research</w:t>
      </w:r>
      <w:r>
        <w:rPr>
          <w:spacing w:val="-7"/>
          <w:sz w:val="22"/>
        </w:rPr>
        <w:t> </w:t>
      </w:r>
      <w:r>
        <w:rPr>
          <w:sz w:val="22"/>
        </w:rPr>
        <w:t>concerning</w:t>
      </w:r>
      <w:r>
        <w:rPr>
          <w:spacing w:val="-6"/>
          <w:sz w:val="22"/>
        </w:rPr>
        <w:t> </w:t>
      </w:r>
      <w:r>
        <w:rPr>
          <w:sz w:val="22"/>
        </w:rPr>
        <w:t>sport</w:t>
      </w:r>
      <w:r>
        <w:rPr>
          <w:spacing w:val="-4"/>
          <w:sz w:val="22"/>
        </w:rPr>
        <w:t> </w:t>
      </w:r>
      <w:r>
        <w:rPr>
          <w:sz w:val="22"/>
        </w:rPr>
        <w:t>and</w:t>
      </w:r>
      <w:r>
        <w:rPr>
          <w:spacing w:val="-7"/>
          <w:sz w:val="22"/>
        </w:rPr>
        <w:t> </w:t>
      </w:r>
      <w:r>
        <w:rPr>
          <w:sz w:val="22"/>
        </w:rPr>
        <w:t>Olympic</w:t>
      </w:r>
      <w:r>
        <w:rPr>
          <w:spacing w:val="-5"/>
          <w:sz w:val="22"/>
        </w:rPr>
        <w:t> </w:t>
      </w:r>
      <w:r>
        <w:rPr>
          <w:sz w:val="22"/>
        </w:rPr>
        <w:t>Games</w:t>
      </w:r>
      <w:r>
        <w:rPr>
          <w:spacing w:val="-5"/>
          <w:sz w:val="22"/>
        </w:rPr>
        <w:t> </w:t>
      </w:r>
      <w:r>
        <w:rPr>
          <w:sz w:val="22"/>
        </w:rPr>
        <w:t>in their broadest cultural, social, and political dimensions. Using sport as a cultural lens, CSSOR facilitates research and curriculum in traditionally recognized humanities disciplines as well as certain social science disciplines to better understand sport and its cultural impact.</w:t>
      </w:r>
    </w:p>
    <w:p>
      <w:pPr>
        <w:pStyle w:val="ListParagraph"/>
        <w:numPr>
          <w:ilvl w:val="0"/>
          <w:numId w:val="2"/>
        </w:numPr>
        <w:tabs>
          <w:tab w:pos="790" w:val="left" w:leader="none"/>
        </w:tabs>
        <w:spacing w:line="240" w:lineRule="auto" w:before="2" w:after="0"/>
        <w:ind w:left="790" w:right="346" w:hanging="360"/>
        <w:jc w:val="left"/>
        <w:rPr>
          <w:sz w:val="22"/>
        </w:rPr>
      </w:pPr>
      <w:r>
        <w:rPr>
          <w:b/>
          <w:sz w:val="22"/>
        </w:rPr>
        <w:t>Center for Sport Performance </w:t>
      </w:r>
      <w:r>
        <w:rPr>
          <w:sz w:val="22"/>
        </w:rPr>
        <w:t>conducts, presents, and</w:t>
      </w:r>
      <w:r>
        <w:rPr>
          <w:spacing w:val="-6"/>
          <w:sz w:val="22"/>
        </w:rPr>
        <w:t> </w:t>
      </w:r>
      <w:r>
        <w:rPr>
          <w:sz w:val="22"/>
        </w:rPr>
        <w:t>publishes</w:t>
      </w:r>
      <w:r>
        <w:rPr>
          <w:spacing w:val="-6"/>
          <w:sz w:val="22"/>
        </w:rPr>
        <w:t> </w:t>
      </w:r>
      <w:r>
        <w:rPr>
          <w:sz w:val="22"/>
        </w:rPr>
        <w:t>research</w:t>
      </w:r>
      <w:r>
        <w:rPr>
          <w:spacing w:val="-6"/>
          <w:sz w:val="22"/>
        </w:rPr>
        <w:t> </w:t>
      </w:r>
      <w:r>
        <w:rPr>
          <w:sz w:val="22"/>
        </w:rPr>
        <w:t>and</w:t>
      </w:r>
      <w:r>
        <w:rPr>
          <w:spacing w:val="-6"/>
          <w:sz w:val="22"/>
        </w:rPr>
        <w:t> </w:t>
      </w:r>
      <w:r>
        <w:rPr>
          <w:sz w:val="22"/>
        </w:rPr>
        <w:t>engages</w:t>
      </w:r>
      <w:r>
        <w:rPr>
          <w:spacing w:val="-6"/>
          <w:sz w:val="22"/>
        </w:rPr>
        <w:t> </w:t>
      </w:r>
      <w:r>
        <w:rPr>
          <w:sz w:val="22"/>
        </w:rPr>
        <w:t>in</w:t>
      </w:r>
      <w:r>
        <w:rPr>
          <w:spacing w:val="-6"/>
          <w:sz w:val="22"/>
        </w:rPr>
        <w:t> </w:t>
      </w:r>
      <w:r>
        <w:rPr>
          <w:sz w:val="22"/>
        </w:rPr>
        <w:t>consultations specifically related to improvement of sport performance through application of the sub- disciplines of Kinesiology.</w:t>
      </w:r>
    </w:p>
    <w:p>
      <w:pPr>
        <w:pStyle w:val="ListParagraph"/>
        <w:numPr>
          <w:ilvl w:val="0"/>
          <w:numId w:val="2"/>
        </w:numPr>
        <w:tabs>
          <w:tab w:pos="790" w:val="left" w:leader="none"/>
        </w:tabs>
        <w:spacing w:line="240" w:lineRule="auto" w:before="0" w:after="0"/>
        <w:ind w:left="790" w:right="324" w:hanging="360"/>
        <w:jc w:val="left"/>
        <w:rPr>
          <w:sz w:val="22"/>
        </w:rPr>
      </w:pPr>
      <w:r>
        <w:rPr>
          <w:b/>
          <w:sz w:val="22"/>
        </w:rPr>
        <w:t>Center</w:t>
      </w:r>
      <w:r>
        <w:rPr>
          <w:b/>
          <w:spacing w:val="-5"/>
          <w:sz w:val="22"/>
        </w:rPr>
        <w:t> </w:t>
      </w:r>
      <w:r>
        <w:rPr>
          <w:b/>
          <w:sz w:val="22"/>
        </w:rPr>
        <w:t>for</w:t>
      </w:r>
      <w:r>
        <w:rPr>
          <w:b/>
          <w:spacing w:val="-8"/>
          <w:sz w:val="22"/>
        </w:rPr>
        <w:t> </w:t>
      </w:r>
      <w:r>
        <w:rPr>
          <w:b/>
          <w:sz w:val="22"/>
        </w:rPr>
        <w:t>Successful</w:t>
      </w:r>
      <w:r>
        <w:rPr>
          <w:b/>
          <w:spacing w:val="-7"/>
          <w:sz w:val="22"/>
        </w:rPr>
        <w:t> </w:t>
      </w:r>
      <w:r>
        <w:rPr>
          <w:b/>
          <w:sz w:val="22"/>
        </w:rPr>
        <w:t>Aging</w:t>
      </w:r>
      <w:r>
        <w:rPr>
          <w:sz w:val="22"/>
        </w:rPr>
        <w:t>,</w:t>
      </w:r>
      <w:r>
        <w:rPr>
          <w:spacing w:val="-6"/>
          <w:sz w:val="22"/>
        </w:rPr>
        <w:t> </w:t>
      </w:r>
      <w:r>
        <w:rPr>
          <w:sz w:val="22"/>
        </w:rPr>
        <w:t>through</w:t>
      </w:r>
      <w:r>
        <w:rPr>
          <w:spacing w:val="-7"/>
          <w:sz w:val="22"/>
        </w:rPr>
        <w:t> </w:t>
      </w:r>
      <w:r>
        <w:rPr>
          <w:sz w:val="22"/>
        </w:rPr>
        <w:t>its</w:t>
      </w:r>
      <w:r>
        <w:rPr>
          <w:spacing w:val="-8"/>
          <w:sz w:val="22"/>
        </w:rPr>
        <w:t> </w:t>
      </w:r>
      <w:r>
        <w:rPr>
          <w:sz w:val="22"/>
        </w:rPr>
        <w:t>educational, research</w:t>
      </w:r>
      <w:r>
        <w:rPr>
          <w:spacing w:val="-1"/>
          <w:sz w:val="22"/>
        </w:rPr>
        <w:t> </w:t>
      </w:r>
      <w:r>
        <w:rPr>
          <w:sz w:val="22"/>
        </w:rPr>
        <w:t>and service activities, has as its mission the promotion of health and vitality across the lifespan. The Center’s whole person wellness programming is committed to helping individuals of all ages and abilities maintain a lifestyle that is of the highest quality</w:t>
      </w:r>
      <w:r>
        <w:rPr>
          <w:spacing w:val="-3"/>
          <w:sz w:val="22"/>
        </w:rPr>
        <w:t> </w:t>
      </w:r>
      <w:r>
        <w:rPr>
          <w:sz w:val="22"/>
        </w:rPr>
        <w:t>attainable.</w:t>
      </w:r>
    </w:p>
    <w:p>
      <w:pPr>
        <w:pStyle w:val="ListParagraph"/>
        <w:numPr>
          <w:ilvl w:val="0"/>
          <w:numId w:val="2"/>
        </w:numPr>
        <w:tabs>
          <w:tab w:pos="790" w:val="left" w:leader="none"/>
        </w:tabs>
        <w:spacing w:line="240" w:lineRule="auto" w:before="0" w:after="0"/>
        <w:ind w:left="790" w:right="256" w:hanging="360"/>
        <w:jc w:val="left"/>
        <w:rPr>
          <w:sz w:val="22"/>
        </w:rPr>
      </w:pPr>
      <w:r>
        <w:rPr>
          <w:b/>
          <w:sz w:val="22"/>
        </w:rPr>
        <w:t>Center for Promotion of Healthy Lifestyles and Obesity Prevention </w:t>
      </w:r>
      <w:r>
        <w:rPr>
          <w:sz w:val="22"/>
        </w:rPr>
        <w:t>facilitates interaction among multiple</w:t>
      </w:r>
      <w:r>
        <w:rPr>
          <w:spacing w:val="-9"/>
          <w:sz w:val="22"/>
        </w:rPr>
        <w:t> </w:t>
      </w:r>
      <w:r>
        <w:rPr>
          <w:sz w:val="22"/>
        </w:rPr>
        <w:t>entities</w:t>
      </w:r>
      <w:r>
        <w:rPr>
          <w:spacing w:val="-5"/>
          <w:sz w:val="22"/>
        </w:rPr>
        <w:t> </w:t>
      </w:r>
      <w:r>
        <w:rPr>
          <w:sz w:val="22"/>
        </w:rPr>
        <w:t>concerned</w:t>
      </w:r>
      <w:r>
        <w:rPr>
          <w:spacing w:val="-7"/>
          <w:sz w:val="22"/>
        </w:rPr>
        <w:t> </w:t>
      </w:r>
      <w:r>
        <w:rPr>
          <w:sz w:val="22"/>
        </w:rPr>
        <w:t>with</w:t>
      </w:r>
      <w:r>
        <w:rPr>
          <w:spacing w:val="-5"/>
          <w:sz w:val="22"/>
        </w:rPr>
        <w:t> </w:t>
      </w:r>
      <w:r>
        <w:rPr>
          <w:sz w:val="22"/>
        </w:rPr>
        <w:t>the</w:t>
      </w:r>
      <w:r>
        <w:rPr>
          <w:spacing w:val="-4"/>
          <w:sz w:val="22"/>
        </w:rPr>
        <w:t> </w:t>
      </w:r>
      <w:r>
        <w:rPr>
          <w:sz w:val="22"/>
        </w:rPr>
        <w:t>rise</w:t>
      </w:r>
      <w:r>
        <w:rPr>
          <w:spacing w:val="-6"/>
          <w:sz w:val="22"/>
        </w:rPr>
        <w:t> </w:t>
      </w:r>
      <w:r>
        <w:rPr>
          <w:sz w:val="22"/>
        </w:rPr>
        <w:t>of</w:t>
      </w:r>
      <w:r>
        <w:rPr>
          <w:spacing w:val="-18"/>
          <w:sz w:val="22"/>
        </w:rPr>
        <w:t> </w:t>
      </w:r>
      <w:r>
        <w:rPr>
          <w:sz w:val="22"/>
        </w:rPr>
        <w:t>childhood obesity including university faculty, schools, community agencies, and policy makers.</w:t>
      </w:r>
    </w:p>
    <w:p>
      <w:pPr>
        <w:pStyle w:val="ListParagraph"/>
        <w:numPr>
          <w:ilvl w:val="0"/>
          <w:numId w:val="2"/>
        </w:numPr>
        <w:tabs>
          <w:tab w:pos="790" w:val="left" w:leader="none"/>
        </w:tabs>
        <w:spacing w:line="240" w:lineRule="auto" w:before="0" w:after="0"/>
        <w:ind w:left="790" w:right="242" w:hanging="360"/>
        <w:jc w:val="left"/>
        <w:rPr>
          <w:sz w:val="22"/>
        </w:rPr>
      </w:pPr>
      <w:r>
        <w:rPr>
          <w:b/>
          <w:sz w:val="22"/>
        </w:rPr>
        <w:t>Fibromyalgia</w:t>
      </w:r>
      <w:r>
        <w:rPr>
          <w:b/>
          <w:spacing w:val="-7"/>
          <w:sz w:val="22"/>
        </w:rPr>
        <w:t> </w:t>
      </w:r>
      <w:r>
        <w:rPr>
          <w:b/>
          <w:sz w:val="22"/>
        </w:rPr>
        <w:t>and</w:t>
      </w:r>
      <w:r>
        <w:rPr>
          <w:b/>
          <w:spacing w:val="-7"/>
          <w:sz w:val="22"/>
        </w:rPr>
        <w:t> </w:t>
      </w:r>
      <w:r>
        <w:rPr>
          <w:b/>
          <w:sz w:val="22"/>
        </w:rPr>
        <w:t>Chronic</w:t>
      </w:r>
      <w:r>
        <w:rPr>
          <w:b/>
          <w:spacing w:val="-7"/>
          <w:sz w:val="22"/>
        </w:rPr>
        <w:t> </w:t>
      </w:r>
      <w:r>
        <w:rPr>
          <w:b/>
          <w:sz w:val="22"/>
        </w:rPr>
        <w:t>Pain</w:t>
      </w:r>
      <w:r>
        <w:rPr>
          <w:b/>
          <w:spacing w:val="-7"/>
          <w:sz w:val="22"/>
        </w:rPr>
        <w:t> </w:t>
      </w:r>
      <w:r>
        <w:rPr>
          <w:b/>
          <w:sz w:val="22"/>
        </w:rPr>
        <w:t>Center’s</w:t>
      </w:r>
      <w:r>
        <w:rPr>
          <w:b/>
          <w:spacing w:val="-5"/>
          <w:sz w:val="22"/>
        </w:rPr>
        <w:t> </w:t>
      </w:r>
      <w:r>
        <w:rPr>
          <w:sz w:val="22"/>
        </w:rPr>
        <w:t>philosophy</w:t>
      </w:r>
      <w:r>
        <w:rPr>
          <w:spacing w:val="-7"/>
          <w:sz w:val="22"/>
        </w:rPr>
        <w:t> </w:t>
      </w:r>
      <w:r>
        <w:rPr>
          <w:sz w:val="22"/>
        </w:rPr>
        <w:t>is to advance research, education, and professional practice related to FM and other chronic pain </w:t>
      </w:r>
      <w:r>
        <w:rPr>
          <w:spacing w:val="-2"/>
          <w:sz w:val="22"/>
        </w:rPr>
        <w:t>disorders.</w:t>
      </w:r>
    </w:p>
    <w:p>
      <w:pPr>
        <w:pStyle w:val="ListParagraph"/>
        <w:numPr>
          <w:ilvl w:val="0"/>
          <w:numId w:val="2"/>
        </w:numPr>
        <w:tabs>
          <w:tab w:pos="790" w:val="left" w:leader="none"/>
        </w:tabs>
        <w:spacing w:line="240" w:lineRule="auto" w:before="0" w:after="0"/>
        <w:ind w:left="790" w:right="380" w:hanging="360"/>
        <w:jc w:val="left"/>
        <w:rPr>
          <w:sz w:val="22"/>
        </w:rPr>
      </w:pPr>
      <w:r>
        <w:rPr>
          <w:b/>
          <w:sz w:val="22"/>
        </w:rPr>
        <w:t>Health Promotion Research Institute </w:t>
      </w:r>
      <w:r>
        <w:rPr>
          <w:sz w:val="22"/>
        </w:rPr>
        <w:t>serves as a catalyst and focal point for research, training, and community</w:t>
      </w:r>
      <w:r>
        <w:rPr>
          <w:spacing w:val="-6"/>
          <w:sz w:val="22"/>
        </w:rPr>
        <w:t> </w:t>
      </w:r>
      <w:r>
        <w:rPr>
          <w:sz w:val="22"/>
        </w:rPr>
        <w:t>interchange</w:t>
      </w:r>
      <w:r>
        <w:rPr>
          <w:spacing w:val="-6"/>
          <w:sz w:val="22"/>
        </w:rPr>
        <w:t> </w:t>
      </w:r>
      <w:r>
        <w:rPr>
          <w:sz w:val="22"/>
        </w:rPr>
        <w:t>to</w:t>
      </w:r>
      <w:r>
        <w:rPr>
          <w:spacing w:val="-8"/>
          <w:sz w:val="22"/>
        </w:rPr>
        <w:t> </w:t>
      </w:r>
      <w:r>
        <w:rPr>
          <w:sz w:val="22"/>
        </w:rPr>
        <w:t>develop</w:t>
      </w:r>
      <w:r>
        <w:rPr>
          <w:spacing w:val="-8"/>
          <w:sz w:val="22"/>
        </w:rPr>
        <w:t> </w:t>
      </w:r>
      <w:r>
        <w:rPr>
          <w:sz w:val="22"/>
        </w:rPr>
        <w:t>and</w:t>
      </w:r>
      <w:r>
        <w:rPr>
          <w:spacing w:val="-8"/>
          <w:sz w:val="22"/>
        </w:rPr>
        <w:t> </w:t>
      </w:r>
      <w:r>
        <w:rPr>
          <w:sz w:val="22"/>
        </w:rPr>
        <w:t>disseminate evidence-based information and health promotion </w:t>
      </w:r>
      <w:r>
        <w:rPr>
          <w:spacing w:val="-2"/>
          <w:sz w:val="22"/>
        </w:rPr>
        <w:t>programs.</w:t>
      </w:r>
    </w:p>
    <w:sectPr>
      <w:pgSz w:w="12240" w:h="15840"/>
      <w:pgMar w:top="240" w:bottom="280" w:left="40" w:right="300"/>
      <w:cols w:num="2" w:equalWidth="0">
        <w:col w:w="5948" w:space="124"/>
        <w:col w:w="5828"/>
      </w:cols>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0"/>
    <w:family w:val="roman"/>
    <w:pitch w:val="variable"/>
  </w:font>
  <w:font w:name="Symbol">
    <w:altName w:val="Symbol"/>
    <w:charset w:val="2"/>
    <w:family w:val="roman"/>
    <w:pitch w:val="variable"/>
  </w:font>
  <w:font w:name="Calibri">
    <w:altName w:val="Calibri"/>
    <w:charset w:val="0"/>
    <w:family w:val="swiss"/>
    <w:pitch w:val="variable"/>
  </w:font>
  <w:font w:name="Franklin Gothic Book">
    <w:altName w:val="Franklin Gothic Book"/>
    <w:charset w:val="0"/>
    <w:family w:val="swiss"/>
    <w:pitch w:val="variable"/>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multiLevelType w:val="hybridMultilevel"/>
    <w:lvl w:ilvl="0">
      <w:start w:val="0"/>
      <w:numFmt w:val="bullet"/>
      <w:lvlText w:val=""/>
      <w:lvlJc w:val="left"/>
      <w:pPr>
        <w:ind w:left="787" w:hanging="360"/>
      </w:pPr>
      <w:rPr>
        <w:rFonts w:hint="default" w:ascii="Symbol" w:hAnsi="Symbol" w:eastAsia="Symbol" w:cs="Symbol"/>
        <w:b w:val="0"/>
        <w:bCs w:val="0"/>
        <w:i w:val="0"/>
        <w:iCs w:val="0"/>
        <w:spacing w:val="0"/>
        <w:w w:val="100"/>
        <w:sz w:val="24"/>
        <w:szCs w:val="24"/>
        <w:lang w:val="en-US" w:eastAsia="en-US" w:bidi="ar-SA"/>
      </w:rPr>
    </w:lvl>
    <w:lvl w:ilvl="1">
      <w:start w:val="0"/>
      <w:numFmt w:val="bullet"/>
      <w:lvlText w:val=""/>
      <w:lvlJc w:val="left"/>
      <w:pPr>
        <w:ind w:left="1219" w:hanging="504"/>
      </w:pPr>
      <w:rPr>
        <w:rFonts w:hint="default" w:ascii="Symbol" w:hAnsi="Symbol" w:eastAsia="Symbol" w:cs="Symbol"/>
        <w:b w:val="0"/>
        <w:bCs w:val="0"/>
        <w:i w:val="0"/>
        <w:iCs w:val="0"/>
        <w:spacing w:val="0"/>
        <w:w w:val="100"/>
        <w:sz w:val="24"/>
        <w:szCs w:val="24"/>
        <w:lang w:val="en-US" w:eastAsia="en-US" w:bidi="ar-SA"/>
      </w:rPr>
    </w:lvl>
    <w:lvl w:ilvl="2">
      <w:start w:val="0"/>
      <w:numFmt w:val="bullet"/>
      <w:lvlText w:val="•"/>
      <w:lvlJc w:val="left"/>
      <w:pPr>
        <w:ind w:left="1758" w:hanging="504"/>
      </w:pPr>
      <w:rPr>
        <w:rFonts w:hint="default"/>
        <w:lang w:val="en-US" w:eastAsia="en-US" w:bidi="ar-SA"/>
      </w:rPr>
    </w:lvl>
    <w:lvl w:ilvl="3">
      <w:start w:val="0"/>
      <w:numFmt w:val="bullet"/>
      <w:lvlText w:val="•"/>
      <w:lvlJc w:val="left"/>
      <w:pPr>
        <w:ind w:left="2297" w:hanging="504"/>
      </w:pPr>
      <w:rPr>
        <w:rFonts w:hint="default"/>
        <w:lang w:val="en-US" w:eastAsia="en-US" w:bidi="ar-SA"/>
      </w:rPr>
    </w:lvl>
    <w:lvl w:ilvl="4">
      <w:start w:val="0"/>
      <w:numFmt w:val="bullet"/>
      <w:lvlText w:val="•"/>
      <w:lvlJc w:val="left"/>
      <w:pPr>
        <w:ind w:left="2835" w:hanging="504"/>
      </w:pPr>
      <w:rPr>
        <w:rFonts w:hint="default"/>
        <w:lang w:val="en-US" w:eastAsia="en-US" w:bidi="ar-SA"/>
      </w:rPr>
    </w:lvl>
    <w:lvl w:ilvl="5">
      <w:start w:val="0"/>
      <w:numFmt w:val="bullet"/>
      <w:lvlText w:val="•"/>
      <w:lvlJc w:val="left"/>
      <w:pPr>
        <w:ind w:left="3374" w:hanging="504"/>
      </w:pPr>
      <w:rPr>
        <w:rFonts w:hint="default"/>
        <w:lang w:val="en-US" w:eastAsia="en-US" w:bidi="ar-SA"/>
      </w:rPr>
    </w:lvl>
    <w:lvl w:ilvl="6">
      <w:start w:val="0"/>
      <w:numFmt w:val="bullet"/>
      <w:lvlText w:val="•"/>
      <w:lvlJc w:val="left"/>
      <w:pPr>
        <w:ind w:left="3912" w:hanging="504"/>
      </w:pPr>
      <w:rPr>
        <w:rFonts w:hint="default"/>
        <w:lang w:val="en-US" w:eastAsia="en-US" w:bidi="ar-SA"/>
      </w:rPr>
    </w:lvl>
    <w:lvl w:ilvl="7">
      <w:start w:val="0"/>
      <w:numFmt w:val="bullet"/>
      <w:lvlText w:val="•"/>
      <w:lvlJc w:val="left"/>
      <w:pPr>
        <w:ind w:left="4451" w:hanging="504"/>
      </w:pPr>
      <w:rPr>
        <w:rFonts w:hint="default"/>
        <w:lang w:val="en-US" w:eastAsia="en-US" w:bidi="ar-SA"/>
      </w:rPr>
    </w:lvl>
    <w:lvl w:ilvl="8">
      <w:start w:val="0"/>
      <w:numFmt w:val="bullet"/>
      <w:lvlText w:val="•"/>
      <w:lvlJc w:val="left"/>
      <w:pPr>
        <w:ind w:left="4990" w:hanging="504"/>
      </w:pPr>
      <w:rPr>
        <w:rFonts w:hint="default"/>
        <w:lang w:val="en-US" w:eastAsia="en-US" w:bidi="ar-SA"/>
      </w:rPr>
    </w:lvl>
  </w:abstractNum>
  <w:abstractNum w:abstractNumId="0">
    <w:multiLevelType w:val="hybridMultilevel"/>
    <w:lvl w:ilvl="0">
      <w:start w:val="0"/>
      <w:numFmt w:val="bullet"/>
      <w:lvlText w:val=""/>
      <w:lvlJc w:val="left"/>
      <w:pPr>
        <w:ind w:left="898" w:hanging="360"/>
      </w:pPr>
      <w:rPr>
        <w:rFonts w:hint="default" w:ascii="Symbol" w:hAnsi="Symbol" w:eastAsia="Symbol" w:cs="Symbol"/>
        <w:b w:val="0"/>
        <w:bCs w:val="0"/>
        <w:i w:val="0"/>
        <w:iCs w:val="0"/>
        <w:spacing w:val="0"/>
        <w:w w:val="100"/>
        <w:sz w:val="24"/>
        <w:szCs w:val="24"/>
        <w:lang w:val="en-US" w:eastAsia="en-US" w:bidi="ar-SA"/>
      </w:rPr>
    </w:lvl>
    <w:lvl w:ilvl="1">
      <w:start w:val="0"/>
      <w:numFmt w:val="bullet"/>
      <w:lvlText w:val=""/>
      <w:lvlJc w:val="left"/>
      <w:pPr>
        <w:ind w:left="1330" w:hanging="360"/>
      </w:pPr>
      <w:rPr>
        <w:rFonts w:hint="default" w:ascii="Symbol" w:hAnsi="Symbol" w:eastAsia="Symbol" w:cs="Symbol"/>
        <w:b w:val="0"/>
        <w:bCs w:val="0"/>
        <w:i w:val="0"/>
        <w:iCs w:val="0"/>
        <w:spacing w:val="0"/>
        <w:w w:val="100"/>
        <w:sz w:val="24"/>
        <w:szCs w:val="24"/>
        <w:lang w:val="en-US" w:eastAsia="en-US" w:bidi="ar-SA"/>
      </w:rPr>
    </w:lvl>
    <w:lvl w:ilvl="2">
      <w:start w:val="0"/>
      <w:numFmt w:val="bullet"/>
      <w:lvlText w:val="•"/>
      <w:lvlJc w:val="left"/>
      <w:pPr>
        <w:ind w:left="1834" w:hanging="360"/>
      </w:pPr>
      <w:rPr>
        <w:rFonts w:hint="default"/>
        <w:lang w:val="en-US" w:eastAsia="en-US" w:bidi="ar-SA"/>
      </w:rPr>
    </w:lvl>
    <w:lvl w:ilvl="3">
      <w:start w:val="0"/>
      <w:numFmt w:val="bullet"/>
      <w:lvlText w:val="•"/>
      <w:lvlJc w:val="left"/>
      <w:pPr>
        <w:ind w:left="2329" w:hanging="360"/>
      </w:pPr>
      <w:rPr>
        <w:rFonts w:hint="default"/>
        <w:lang w:val="en-US" w:eastAsia="en-US" w:bidi="ar-SA"/>
      </w:rPr>
    </w:lvl>
    <w:lvl w:ilvl="4">
      <w:start w:val="0"/>
      <w:numFmt w:val="bullet"/>
      <w:lvlText w:val="•"/>
      <w:lvlJc w:val="left"/>
      <w:pPr>
        <w:ind w:left="2824" w:hanging="360"/>
      </w:pPr>
      <w:rPr>
        <w:rFonts w:hint="default"/>
        <w:lang w:val="en-US" w:eastAsia="en-US" w:bidi="ar-SA"/>
      </w:rPr>
    </w:lvl>
    <w:lvl w:ilvl="5">
      <w:start w:val="0"/>
      <w:numFmt w:val="bullet"/>
      <w:lvlText w:val="•"/>
      <w:lvlJc w:val="left"/>
      <w:pPr>
        <w:ind w:left="3318" w:hanging="360"/>
      </w:pPr>
      <w:rPr>
        <w:rFonts w:hint="default"/>
        <w:lang w:val="en-US" w:eastAsia="en-US" w:bidi="ar-SA"/>
      </w:rPr>
    </w:lvl>
    <w:lvl w:ilvl="6">
      <w:start w:val="0"/>
      <w:numFmt w:val="bullet"/>
      <w:lvlText w:val="•"/>
      <w:lvlJc w:val="left"/>
      <w:pPr>
        <w:ind w:left="3813" w:hanging="360"/>
      </w:pPr>
      <w:rPr>
        <w:rFonts w:hint="default"/>
        <w:lang w:val="en-US" w:eastAsia="en-US" w:bidi="ar-SA"/>
      </w:rPr>
    </w:lvl>
    <w:lvl w:ilvl="7">
      <w:start w:val="0"/>
      <w:numFmt w:val="bullet"/>
      <w:lvlText w:val="•"/>
      <w:lvlJc w:val="left"/>
      <w:pPr>
        <w:ind w:left="4308" w:hanging="360"/>
      </w:pPr>
      <w:rPr>
        <w:rFonts w:hint="default"/>
        <w:lang w:val="en-US" w:eastAsia="en-US" w:bidi="ar-SA"/>
      </w:rPr>
    </w:lvl>
    <w:lvl w:ilvl="8">
      <w:start w:val="0"/>
      <w:numFmt w:val="bullet"/>
      <w:lvlText w:val="•"/>
      <w:lvlJc w:val="left"/>
      <w:pPr>
        <w:ind w:left="4803" w:hanging="360"/>
      </w:pPr>
      <w:rPr>
        <w:rFonts w:hint="default"/>
        <w:lang w:val="en-US" w:eastAsia="en-US" w:bidi="ar-SA"/>
      </w:rPr>
    </w:lvl>
  </w:abstractNum>
  <w:num w:numId="2">
    <w:abstractNumId w:val="1"/>
  </w: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Setting w:val="14" w:uri="http://schemas.microsoft.com/office/word" w:name="compatibilityMode"/>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Calibri" w:hAnsi="Calibri" w:eastAsia="Calibri" w:cs="Calibri"/>
      <w:lang w:val="en-US" w:eastAsia="en-US" w:bidi="ar-SA"/>
    </w:rPr>
  </w:style>
  <w:style w:styleId="BodyText" w:type="paragraph">
    <w:name w:val="Body Text"/>
    <w:basedOn w:val="Normal"/>
    <w:uiPriority w:val="1"/>
    <w:qFormat/>
    <w:pPr>
      <w:ind w:left="1330" w:hanging="360"/>
    </w:pPr>
    <w:rPr>
      <w:rFonts w:ascii="Calibri" w:hAnsi="Calibri" w:eastAsia="Calibri" w:cs="Calibri"/>
      <w:sz w:val="22"/>
      <w:szCs w:val="22"/>
      <w:lang w:val="en-US" w:eastAsia="en-US" w:bidi="ar-SA"/>
    </w:rPr>
  </w:style>
  <w:style w:styleId="Heading1" w:type="paragraph">
    <w:name w:val="Heading 1"/>
    <w:basedOn w:val="Normal"/>
    <w:uiPriority w:val="1"/>
    <w:qFormat/>
    <w:pPr>
      <w:spacing w:before="101"/>
      <w:ind w:left="109"/>
      <w:outlineLvl w:val="1"/>
    </w:pPr>
    <w:rPr>
      <w:rFonts w:ascii="Calibri" w:hAnsi="Calibri" w:eastAsia="Calibri" w:cs="Calibri"/>
      <w:sz w:val="40"/>
      <w:szCs w:val="40"/>
      <w:lang w:val="en-US" w:eastAsia="en-US" w:bidi="ar-SA"/>
    </w:rPr>
  </w:style>
  <w:style w:styleId="ListParagraph" w:type="paragraph">
    <w:name w:val="List Paragraph"/>
    <w:basedOn w:val="Normal"/>
    <w:uiPriority w:val="1"/>
    <w:qFormat/>
    <w:pPr>
      <w:ind w:left="1330" w:hanging="360"/>
    </w:pPr>
    <w:rPr>
      <w:rFonts w:ascii="Calibri" w:hAnsi="Calibri" w:eastAsia="Calibri" w:cs="Calibri"/>
      <w:lang w:val="en-US" w:eastAsia="en-US" w:bidi="ar-SA"/>
    </w:rPr>
  </w:style>
  <w:style w:styleId="TableParagraph" w:type="paragraph">
    <w:name w:val="Table Paragraph"/>
    <w:basedOn w:val="Normal"/>
    <w:uiPriority w:val="1"/>
    <w:qFormat/>
    <w:pPr/>
    <w:rPr>
      <w:lang w:val="en-US" w:eastAsia="en-US" w:bidi="ar-SA"/>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 Id="rId5" Type="http://schemas.openxmlformats.org/officeDocument/2006/relationships/image" Target="media/image1.png"/><Relationship Id="rId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Company/>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dcterms:created xsi:type="dcterms:W3CDTF">2026-09-30T18:55:50Z</dcterms:created>
  <dcterms:modified xsi:type="dcterms:W3CDTF">2026-09-30T18:55:50Z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2024-10-23T00:00:00Z</vt:filetime>
  </property>
  <property fmtid="{D5CDD505-2E9C-101B-9397-08002B2CF9AE}" pid="3" name="Creator">
    <vt:lpwstr>Acrobat PDFMaker 24 for Word</vt:lpwstr>
  </property>
  <property fmtid="{D5CDD505-2E9C-101B-9397-08002B2CF9AE}" pid="4" name="GrammarlyDocumentId">
    <vt:lpwstr>bd47ae900faa5087413fdf0a63cdaeaf71d2adc59c58976483309d29865c0f02</vt:lpwstr>
  </property>
  <property fmtid="{D5CDD505-2E9C-101B-9397-08002B2CF9AE}" pid="5" name="LastSaved">
    <vt:filetime>2026-09-30T00:00:00Z</vt:filetime>
  </property>
  <property fmtid="{D5CDD505-2E9C-101B-9397-08002B2CF9AE}" pid="6" name="Producer">
    <vt:lpwstr>Adobe PDF Library 24.3.212</vt:lpwstr>
  </property>
  <property fmtid="{D5CDD505-2E9C-101B-9397-08002B2CF9AE}" pid="7" name="SourceModified">
    <vt:lpwstr>D:20241023193529</vt:lpwstr>
  </property>
</Properties>
</file>